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4500C" w14:textId="5EBE3626" w:rsidR="00B12F60" w:rsidRDefault="00B12F60" w:rsidP="00B12F60">
      <w:pPr>
        <w:pStyle w:val="3GPPHeader"/>
      </w:pPr>
      <w:r>
        <w:t>3GPP TSG RAN WG1 Meeting #117</w:t>
      </w:r>
      <w:r>
        <w:tab/>
      </w:r>
      <w:bookmarkStart w:id="0" w:name="OLE_LINK22"/>
      <w:r w:rsidR="001464B4">
        <w:rPr>
          <w:rStyle w:val="ui-provider"/>
        </w:rPr>
        <w:t>R1-2405077</w:t>
      </w:r>
      <w:bookmarkEnd w:id="0"/>
    </w:p>
    <w:p w14:paraId="131F9A41" w14:textId="77777777" w:rsidR="00B12F60" w:rsidRDefault="00B12F60" w:rsidP="00B12F60">
      <w:pPr>
        <w:pStyle w:val="3GPPHeader"/>
      </w:pPr>
      <w:bookmarkStart w:id="1" w:name="_Hlk162266982"/>
      <w:r>
        <w:rPr>
          <w:bCs/>
        </w:rPr>
        <w:t>Fukuoka City, Fukuoka, Japan, May 20</w:t>
      </w:r>
      <w:r>
        <w:rPr>
          <w:bCs/>
          <w:vertAlign w:val="superscript"/>
        </w:rPr>
        <w:t>th</w:t>
      </w:r>
      <w:r>
        <w:rPr>
          <w:bCs/>
        </w:rPr>
        <w:t xml:space="preserve"> – 24</w:t>
      </w:r>
      <w:r>
        <w:rPr>
          <w:bCs/>
          <w:vertAlign w:val="superscript"/>
        </w:rPr>
        <w:t>th</w:t>
      </w:r>
      <w:bookmarkEnd w:id="1"/>
      <w:r>
        <w:t>, 2024</w:t>
      </w:r>
    </w:p>
    <w:p w14:paraId="12D73D59" w14:textId="77777777" w:rsidR="003446F9" w:rsidRDefault="003446F9"/>
    <w:p w14:paraId="66593979" w14:textId="77777777" w:rsidR="003446F9" w:rsidRDefault="00B12F60">
      <w:pPr>
        <w:pStyle w:val="3GPPHeader"/>
      </w:pPr>
      <w:r>
        <w:t>Source:</w:t>
      </w:r>
      <w:r>
        <w:tab/>
        <w:t>MediaTek Inc.</w:t>
      </w:r>
    </w:p>
    <w:p w14:paraId="07FED55D" w14:textId="77777777" w:rsidR="003446F9" w:rsidRDefault="00B12F60">
      <w:pPr>
        <w:pStyle w:val="3GPPHeader"/>
      </w:pPr>
      <w:r>
        <w:t>Title:</w:t>
      </w:r>
      <w:r>
        <w:tab/>
        <w:t>Ambient IoT device architectures</w:t>
      </w:r>
    </w:p>
    <w:p w14:paraId="564C14AB" w14:textId="77777777" w:rsidR="003446F9" w:rsidRDefault="00B12F60">
      <w:pPr>
        <w:pStyle w:val="3GPPHeader"/>
      </w:pPr>
      <w:r>
        <w:t>Agenda item:</w:t>
      </w:r>
      <w:r>
        <w:tab/>
        <w:t>9.4.1.2</w:t>
      </w:r>
    </w:p>
    <w:p w14:paraId="3FC1D3B1" w14:textId="77777777" w:rsidR="003446F9" w:rsidRDefault="00B12F60">
      <w:pPr>
        <w:pStyle w:val="3GPPHeader"/>
      </w:pPr>
      <w:r>
        <w:t>Document for:</w:t>
      </w:r>
      <w:r>
        <w:tab/>
        <w:t>Discussion</w:t>
      </w:r>
    </w:p>
    <w:p w14:paraId="09E2F28A" w14:textId="77777777" w:rsidR="003446F9" w:rsidRDefault="003446F9"/>
    <w:p w14:paraId="627F4550" w14:textId="77777777" w:rsidR="003446F9" w:rsidRDefault="00B12F60">
      <w:pPr>
        <w:pStyle w:val="Heading1"/>
      </w:pPr>
      <w:r>
        <w:t>Introduction</w:t>
      </w:r>
    </w:p>
    <w:p w14:paraId="4792FC35" w14:textId="09ED841F" w:rsidR="003446F9" w:rsidRDefault="005E76A0">
      <w:r w:rsidRPr="005E76A0">
        <w:t>In this contribution, we have discussed supporting one-way reflection amplifiers and large frequency shifts to enhance spectrum efficiency and reduce interference.</w:t>
      </w:r>
    </w:p>
    <w:p w14:paraId="4245449D" w14:textId="0AC9C101" w:rsidR="003446F9" w:rsidRDefault="00B12F60">
      <w:pPr>
        <w:pStyle w:val="Heading1"/>
      </w:pPr>
      <w:bookmarkStart w:id="2" w:name="OLE_LINK1"/>
      <w:r>
        <w:t xml:space="preserve">Reflection Amplifier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630"/>
      </w:tblGrid>
      <w:tr w:rsidR="00B37D57" w14:paraId="72F63F53" w14:textId="77777777" w:rsidTr="00B37D57">
        <w:tc>
          <w:tcPr>
            <w:tcW w:w="8630" w:type="dxa"/>
          </w:tcPr>
          <w:p w14:paraId="13A8CD98" w14:textId="77777777" w:rsidR="00B37D57" w:rsidRPr="00B37D57" w:rsidRDefault="00B37D57" w:rsidP="00B37D57">
            <w:pPr>
              <w:overflowPunct/>
              <w:autoSpaceDE/>
              <w:autoSpaceDN/>
              <w:adjustRightInd/>
              <w:spacing w:after="0" w:line="216" w:lineRule="auto"/>
              <w:textAlignment w:val="auto"/>
              <w:rPr>
                <w:rFonts w:ascii="新細明體" w:eastAsia="新細明體" w:hAnsi="新細明體" w:cs="新細明體"/>
                <w:lang w:eastAsia="zh-TW"/>
              </w:rPr>
            </w:pPr>
            <w:r w:rsidRPr="00B37D57">
              <w:rPr>
                <w:rFonts w:eastAsia="Batang" w:cs="Times New Roman"/>
                <w:b/>
                <w:bCs/>
                <w:color w:val="000000"/>
                <w:kern w:val="24"/>
                <w:highlight w:val="green"/>
                <w:lang w:val="en-GB" w:eastAsia="zh-TW"/>
              </w:rPr>
              <w:t>Agreement</w:t>
            </w:r>
            <w:r w:rsidRPr="00B37D57">
              <w:rPr>
                <w:rFonts w:eastAsia="Batang" w:cs="Times New Roman"/>
                <w:color w:val="000000"/>
                <w:kern w:val="24"/>
                <w:lang w:val="en-GB" w:eastAsia="zh-TW"/>
              </w:rPr>
              <w:t xml:space="preserve"> in R1#116b</w:t>
            </w:r>
          </w:p>
          <w:p w14:paraId="4DE3EEAC" w14:textId="77777777" w:rsidR="00B37D57" w:rsidRPr="00B37D57" w:rsidRDefault="00B37D57" w:rsidP="00B37D57">
            <w:pPr>
              <w:numPr>
                <w:ilvl w:val="0"/>
                <w:numId w:val="14"/>
              </w:numPr>
              <w:overflowPunct/>
              <w:autoSpaceDE/>
              <w:autoSpaceDN/>
              <w:adjustRightInd/>
              <w:spacing w:after="0" w:line="216" w:lineRule="auto"/>
              <w:textAlignment w:val="auto"/>
              <w:rPr>
                <w:rFonts w:ascii="新細明體" w:eastAsia="新細明體" w:hAnsi="新細明體" w:cs="新細明體"/>
                <w:lang w:eastAsia="zh-TW"/>
              </w:rPr>
            </w:pPr>
            <w:r w:rsidRPr="00B37D57">
              <w:rPr>
                <w:rFonts w:eastAsia="Batang" w:cs="Times New Roman"/>
                <w:color w:val="000000"/>
                <w:kern w:val="24"/>
                <w:lang w:val="en-GB" w:eastAsia="zh-TW"/>
              </w:rPr>
              <w:t xml:space="preserve">Further study </w:t>
            </w:r>
            <w:bookmarkStart w:id="3" w:name="OLE_LINK2"/>
            <w:r w:rsidRPr="00B37D57">
              <w:rPr>
                <w:rFonts w:eastAsia="Batang" w:cs="Times New Roman"/>
                <w:color w:val="000000"/>
                <w:kern w:val="24"/>
                <w:lang w:val="en-GB" w:eastAsia="zh-TW"/>
              </w:rPr>
              <w:t>reflection amplifier</w:t>
            </w:r>
            <w:bookmarkEnd w:id="3"/>
            <w:r w:rsidRPr="00B37D57">
              <w:rPr>
                <w:rFonts w:eastAsia="Batang" w:cs="Times New Roman"/>
                <w:color w:val="000000"/>
                <w:kern w:val="24"/>
                <w:lang w:val="en-GB" w:eastAsia="zh-TW"/>
              </w:rPr>
              <w:t xml:space="preserve"> </w:t>
            </w:r>
            <w:bookmarkStart w:id="4" w:name="OLE_LINK6"/>
            <w:r w:rsidRPr="00B37D57">
              <w:rPr>
                <w:rFonts w:eastAsia="Batang" w:cs="Times New Roman"/>
                <w:color w:val="000000"/>
                <w:kern w:val="24"/>
                <w:lang w:val="en-GB" w:eastAsia="zh-TW"/>
              </w:rPr>
              <w:t>for Device 2a</w:t>
            </w:r>
            <w:bookmarkEnd w:id="4"/>
            <w:r w:rsidRPr="00B37D57">
              <w:rPr>
                <w:rFonts w:eastAsia="Batang" w:cs="Times New Roman"/>
                <w:color w:val="000000"/>
                <w:kern w:val="24"/>
                <w:lang w:val="en-GB" w:eastAsia="zh-TW"/>
              </w:rPr>
              <w:t>, considering following aspects:</w:t>
            </w:r>
          </w:p>
          <w:p w14:paraId="3C482E00" w14:textId="77777777" w:rsidR="00B37D57" w:rsidRPr="00B37D57" w:rsidRDefault="00B37D57" w:rsidP="00B37D57">
            <w:pPr>
              <w:numPr>
                <w:ilvl w:val="0"/>
                <w:numId w:val="14"/>
              </w:numPr>
              <w:overflowPunct/>
              <w:autoSpaceDE/>
              <w:autoSpaceDN/>
              <w:adjustRightInd/>
              <w:spacing w:after="0" w:line="216" w:lineRule="auto"/>
              <w:jc w:val="both"/>
              <w:textAlignment w:val="auto"/>
              <w:rPr>
                <w:rFonts w:ascii="新細明體" w:eastAsia="新細明體" w:hAnsi="新細明體" w:cs="新細明體"/>
                <w:lang w:eastAsia="zh-TW"/>
              </w:rPr>
            </w:pPr>
            <w:r w:rsidRPr="00B37D57">
              <w:rPr>
                <w:rFonts w:eastAsia="Batang" w:cs="Times New Roman"/>
                <w:color w:val="000000"/>
                <w:kern w:val="24"/>
                <w:lang w:val="en-GB" w:eastAsia="zh-TW"/>
              </w:rPr>
              <w:t>Types of reflection amplifier</w:t>
            </w:r>
          </w:p>
          <w:p w14:paraId="381996F5" w14:textId="77777777" w:rsidR="00B37D57" w:rsidRPr="00B37D57" w:rsidRDefault="00B37D57" w:rsidP="00B37D57">
            <w:pPr>
              <w:numPr>
                <w:ilvl w:val="1"/>
                <w:numId w:val="14"/>
              </w:numPr>
              <w:overflowPunct/>
              <w:autoSpaceDE/>
              <w:autoSpaceDN/>
              <w:adjustRightInd/>
              <w:spacing w:after="0"/>
              <w:jc w:val="both"/>
              <w:textAlignment w:val="auto"/>
              <w:rPr>
                <w:rFonts w:ascii="新細明體" w:eastAsia="新細明體" w:hAnsi="新細明體" w:cs="新細明體"/>
                <w:lang w:eastAsia="zh-TW"/>
              </w:rPr>
            </w:pPr>
            <w:r w:rsidRPr="00B37D57">
              <w:rPr>
                <w:rFonts w:eastAsia="Batang" w:cs="Times New Roman"/>
                <w:color w:val="000000"/>
                <w:kern w:val="24"/>
                <w:lang w:val="en-GB" w:eastAsia="zh-TW"/>
              </w:rPr>
              <w:t>Uni-directional/one-way (for D2R)</w:t>
            </w:r>
          </w:p>
          <w:p w14:paraId="48C1107E" w14:textId="4F815DC9" w:rsidR="00B37D57" w:rsidRPr="00B37D57" w:rsidRDefault="00B37D57" w:rsidP="00B37D57">
            <w:pPr>
              <w:numPr>
                <w:ilvl w:val="1"/>
                <w:numId w:val="14"/>
              </w:numPr>
              <w:overflowPunct/>
              <w:autoSpaceDE/>
              <w:autoSpaceDN/>
              <w:adjustRightInd/>
              <w:spacing w:after="0"/>
              <w:jc w:val="both"/>
              <w:textAlignment w:val="auto"/>
              <w:rPr>
                <w:rFonts w:ascii="新細明體" w:eastAsia="新細明體" w:hAnsi="新細明體" w:cs="新細明體"/>
                <w:lang w:eastAsia="zh-TW"/>
              </w:rPr>
            </w:pPr>
            <w:r w:rsidRPr="00B37D57">
              <w:rPr>
                <w:rFonts w:eastAsia="Batang" w:cs="Times New Roman"/>
                <w:color w:val="000000"/>
                <w:kern w:val="24"/>
                <w:lang w:val="en-GB" w:eastAsia="zh-TW"/>
              </w:rPr>
              <w:t>Bi-directional/</w:t>
            </w:r>
            <w:r>
              <w:t xml:space="preserve"> </w:t>
            </w:r>
            <w:r w:rsidRPr="00B37D57">
              <w:rPr>
                <w:rFonts w:eastAsia="Batang" w:cs="Times New Roman"/>
                <w:color w:val="000000"/>
                <w:kern w:val="24"/>
                <w:lang w:val="en-GB" w:eastAsia="zh-TW"/>
              </w:rPr>
              <w:t>two-way (for both R2D and D2R)</w:t>
            </w:r>
          </w:p>
          <w:p w14:paraId="31A2834C" w14:textId="77777777" w:rsidR="00B37D57" w:rsidRPr="00B37D57" w:rsidRDefault="00B37D57" w:rsidP="00B37D57">
            <w:pPr>
              <w:numPr>
                <w:ilvl w:val="2"/>
                <w:numId w:val="14"/>
              </w:numPr>
              <w:overflowPunct/>
              <w:autoSpaceDE/>
              <w:autoSpaceDN/>
              <w:adjustRightInd/>
              <w:spacing w:after="0"/>
              <w:jc w:val="both"/>
              <w:textAlignment w:val="auto"/>
              <w:rPr>
                <w:rFonts w:ascii="新細明體" w:eastAsia="新細明體" w:hAnsi="新細明體" w:cs="新細明體"/>
                <w:lang w:eastAsia="zh-TW"/>
              </w:rPr>
            </w:pPr>
            <w:r w:rsidRPr="00B37D57">
              <w:rPr>
                <w:rFonts w:eastAsia="Batang" w:cs="Times New Roman"/>
                <w:color w:val="000000"/>
                <w:kern w:val="24"/>
                <w:lang w:val="en-GB" w:eastAsia="zh-TW"/>
              </w:rPr>
              <w:t>FFS: switching loss (if applicable)</w:t>
            </w:r>
          </w:p>
          <w:p w14:paraId="4293C610" w14:textId="77777777" w:rsidR="00B37D57" w:rsidRPr="00B37D57" w:rsidRDefault="00B37D57" w:rsidP="00B37D57">
            <w:pPr>
              <w:numPr>
                <w:ilvl w:val="0"/>
                <w:numId w:val="14"/>
              </w:numPr>
              <w:overflowPunct/>
              <w:autoSpaceDE/>
              <w:autoSpaceDN/>
              <w:adjustRightInd/>
              <w:spacing w:after="0" w:line="216" w:lineRule="auto"/>
              <w:jc w:val="both"/>
              <w:textAlignment w:val="auto"/>
              <w:rPr>
                <w:rFonts w:ascii="新細明體" w:eastAsia="新細明體" w:hAnsi="新細明體" w:cs="新細明體"/>
                <w:lang w:eastAsia="zh-TW"/>
              </w:rPr>
            </w:pPr>
            <w:bookmarkStart w:id="5" w:name="OLE_LINK3"/>
            <w:r w:rsidRPr="00B37D57">
              <w:rPr>
                <w:rFonts w:eastAsia="Batang" w:cs="Times New Roman"/>
                <w:color w:val="000000"/>
                <w:kern w:val="24"/>
                <w:lang w:val="en-GB" w:eastAsia="zh-TW"/>
              </w:rPr>
              <w:t>One-way Amplification Gain</w:t>
            </w:r>
          </w:p>
          <w:bookmarkEnd w:id="5"/>
          <w:p w14:paraId="3A222A48" w14:textId="77777777" w:rsidR="00B37D57" w:rsidRPr="00B37D57" w:rsidRDefault="00B37D57" w:rsidP="00B37D57">
            <w:pPr>
              <w:numPr>
                <w:ilvl w:val="1"/>
                <w:numId w:val="14"/>
              </w:numPr>
              <w:overflowPunct/>
              <w:autoSpaceDE/>
              <w:autoSpaceDN/>
              <w:adjustRightInd/>
              <w:spacing w:after="0"/>
              <w:jc w:val="both"/>
              <w:textAlignment w:val="auto"/>
              <w:rPr>
                <w:rFonts w:ascii="新細明體" w:eastAsia="新細明體" w:hAnsi="新細明體" w:cs="新細明體"/>
                <w:lang w:eastAsia="zh-TW"/>
              </w:rPr>
            </w:pPr>
            <w:r w:rsidRPr="00B37D57">
              <w:rPr>
                <w:rFonts w:eastAsia="Batang" w:cs="Times New Roman"/>
                <w:color w:val="000000"/>
                <w:kern w:val="24"/>
                <w:lang w:val="en-GB" w:eastAsia="zh-TW"/>
              </w:rPr>
              <w:t>E.g. [10, 15, 25] dB</w:t>
            </w:r>
          </w:p>
          <w:p w14:paraId="4BBCD729" w14:textId="77777777" w:rsidR="00B37D57" w:rsidRPr="00B37D57" w:rsidRDefault="00B37D57" w:rsidP="00B37D57">
            <w:pPr>
              <w:numPr>
                <w:ilvl w:val="1"/>
                <w:numId w:val="14"/>
              </w:numPr>
              <w:overflowPunct/>
              <w:autoSpaceDE/>
              <w:autoSpaceDN/>
              <w:adjustRightInd/>
              <w:spacing w:after="0"/>
              <w:jc w:val="both"/>
              <w:textAlignment w:val="auto"/>
              <w:rPr>
                <w:rFonts w:ascii="新細明體" w:eastAsia="新細明體" w:hAnsi="新細明體" w:cs="新細明體"/>
                <w:lang w:eastAsia="zh-TW"/>
              </w:rPr>
            </w:pPr>
            <w:r w:rsidRPr="00B37D57">
              <w:rPr>
                <w:rFonts w:eastAsia="Batang" w:cs="Times New Roman"/>
                <w:color w:val="000000"/>
                <w:kern w:val="24"/>
                <w:lang w:val="en-GB" w:eastAsia="zh-TW"/>
              </w:rPr>
              <w:t>Considering stability, operating frequency, and power consumption characteristics</w:t>
            </w:r>
          </w:p>
          <w:p w14:paraId="05ADADEE" w14:textId="29398BF1" w:rsidR="00B37D57" w:rsidRPr="00B37D57" w:rsidRDefault="00B37D57" w:rsidP="00B37D57">
            <w:pPr>
              <w:numPr>
                <w:ilvl w:val="0"/>
                <w:numId w:val="14"/>
              </w:numPr>
              <w:overflowPunct/>
              <w:autoSpaceDE/>
              <w:autoSpaceDN/>
              <w:adjustRightInd/>
              <w:spacing w:afterLines="50" w:line="216" w:lineRule="auto"/>
              <w:jc w:val="both"/>
              <w:textAlignment w:val="auto"/>
              <w:rPr>
                <w:rFonts w:ascii="新細明體" w:eastAsia="新細明體" w:hAnsi="新細明體" w:cs="新細明體"/>
                <w:lang w:eastAsia="zh-TW"/>
              </w:rPr>
            </w:pPr>
            <w:r w:rsidRPr="00B37D57">
              <w:rPr>
                <w:rFonts w:eastAsia="Batang" w:cs="Times New Roman"/>
                <w:color w:val="000000"/>
                <w:kern w:val="24"/>
                <w:lang w:val="en-GB" w:eastAsia="zh-TW"/>
              </w:rPr>
              <w:t>Bandwidth</w:t>
            </w:r>
          </w:p>
        </w:tc>
      </w:tr>
    </w:tbl>
    <w:p w14:paraId="22C11414" w14:textId="479D938A" w:rsidR="00B37D57" w:rsidRDefault="00B37D57" w:rsidP="00B37D57">
      <w:pPr>
        <w:spacing w:beforeLines="50" w:before="120"/>
      </w:pPr>
      <w:r w:rsidRPr="00B37D57">
        <w:t xml:space="preserve">Reflection amplifiers offer a promising solution for A-IoT devices, focusing on uplink performance without significantly increasing power demands. </w:t>
      </w:r>
      <w:r>
        <w:t xml:space="preserve">For example, </w:t>
      </w:r>
      <w:r>
        <w:fldChar w:fldCharType="begin"/>
      </w:r>
      <w:r>
        <w:instrText xml:space="preserve"> REF _Ref166157856 \r \h </w:instrText>
      </w:r>
      <w:r>
        <w:fldChar w:fldCharType="separate"/>
      </w:r>
      <w:r>
        <w:t>[1]</w:t>
      </w:r>
      <w:r>
        <w:fldChar w:fldCharType="end"/>
      </w:r>
      <w:r w:rsidRPr="00B37D57">
        <w:t xml:space="preserve"> mentions an ultra-low-power reflection amplifier with </w:t>
      </w:r>
      <w:bookmarkStart w:id="6" w:name="OLE_LINK5"/>
      <w:r w:rsidRPr="00B37D57">
        <w:t>up to 1</w:t>
      </w:r>
      <w:bookmarkStart w:id="7" w:name="OLE_LINK4"/>
      <w:r w:rsidRPr="00B37D57">
        <w:t xml:space="preserve">0.2-dB gain and </w:t>
      </w:r>
      <w:bookmarkStart w:id="8" w:name="OLE_LINK9"/>
      <w:r w:rsidRPr="00B37D57">
        <w:t>sub-milliwatt</w:t>
      </w:r>
      <w:bookmarkEnd w:id="8"/>
      <w:r w:rsidRPr="00B37D57">
        <w:t xml:space="preserve"> power consumption</w:t>
      </w:r>
      <w:bookmarkEnd w:id="6"/>
      <w:bookmarkEnd w:id="7"/>
      <w:r w:rsidRPr="00B37D57">
        <w:t>.</w:t>
      </w:r>
    </w:p>
    <w:p w14:paraId="1FF46708" w14:textId="66606DA2" w:rsidR="00B37D57" w:rsidRPr="00B37D57" w:rsidRDefault="00B37D57" w:rsidP="00B37D57">
      <w:r>
        <w:t xml:space="preserve">However, traditional </w:t>
      </w:r>
      <w:r w:rsidRPr="00B37D57">
        <w:t>amplifiers in two-way communication</w:t>
      </w:r>
      <w:r>
        <w:t xml:space="preserve"> such as low noise amplifiers (LNA)</w:t>
      </w:r>
      <w:r w:rsidRPr="00B37D57">
        <w:t>, may not be ideal for A-IoT due to their high-power consumption.</w:t>
      </w:r>
    </w:p>
    <w:p w14:paraId="143DC866" w14:textId="11ACF5AD" w:rsidR="00B37D57" w:rsidRPr="00B37D57" w:rsidRDefault="00B37D57" w:rsidP="00B37D57">
      <w:pPr>
        <w:ind w:left="1440" w:hanging="1440"/>
        <w:rPr>
          <w:b/>
          <w:bCs/>
        </w:rPr>
      </w:pPr>
      <w:bookmarkStart w:id="9" w:name="OLE_LINK18"/>
      <w:r w:rsidRPr="00B37D57">
        <w:rPr>
          <w:b/>
          <w:bCs/>
        </w:rPr>
        <w:t>Observation 1:</w:t>
      </w:r>
      <w:r>
        <w:rPr>
          <w:b/>
          <w:bCs/>
        </w:rPr>
        <w:tab/>
      </w:r>
      <w:r w:rsidRPr="00B37D57">
        <w:rPr>
          <w:b/>
          <w:bCs/>
        </w:rPr>
        <w:t>One-way reflection amplifiers can provide at least 10-dB gain with sub-milliwatt power consumption. However, typical two-way reflection amplifiers</w:t>
      </w:r>
      <w:r>
        <w:rPr>
          <w:b/>
          <w:bCs/>
        </w:rPr>
        <w:t>.</w:t>
      </w:r>
    </w:p>
    <w:p w14:paraId="56183CA9" w14:textId="5B29B38F" w:rsidR="00B37D57" w:rsidRPr="00B37D57" w:rsidRDefault="00B37D57" w:rsidP="00B37D57">
      <w:pPr>
        <w:ind w:left="1440" w:hanging="1440"/>
        <w:rPr>
          <w:b/>
          <w:bCs/>
        </w:rPr>
      </w:pPr>
      <w:bookmarkStart w:id="10" w:name="OLE_LINK19"/>
      <w:bookmarkEnd w:id="9"/>
      <w:r w:rsidRPr="00B37D57">
        <w:rPr>
          <w:b/>
          <w:bCs/>
        </w:rPr>
        <w:t>Proposal 1: </w:t>
      </w:r>
      <w:r>
        <w:rPr>
          <w:b/>
          <w:bCs/>
        </w:rPr>
        <w:tab/>
      </w:r>
      <w:r w:rsidRPr="00B37D57">
        <w:rPr>
          <w:b/>
          <w:bCs/>
        </w:rPr>
        <w:t xml:space="preserve">Support one-way reflection amplifiers for Device 2a, considering one-way amplification gain at least 10 dB, </w:t>
      </w:r>
      <w:r>
        <w:rPr>
          <w:b/>
          <w:bCs/>
        </w:rPr>
        <w:t xml:space="preserve">and </w:t>
      </w:r>
      <w:r w:rsidRPr="00B37D57">
        <w:rPr>
          <w:b/>
          <w:bCs/>
        </w:rPr>
        <w:t>avoiding the need for LNAs and RX amplifiers in two-way amplifiers.</w:t>
      </w:r>
    </w:p>
    <w:bookmarkEnd w:id="2"/>
    <w:bookmarkEnd w:id="10"/>
    <w:p w14:paraId="6CED1DA7" w14:textId="044FF72A" w:rsidR="003446F9" w:rsidRDefault="00B12F60">
      <w:pPr>
        <w:pStyle w:val="Heading1"/>
      </w:pPr>
      <w:r>
        <w:t xml:space="preserve">Large Frequency Shift </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630"/>
      </w:tblGrid>
      <w:tr w:rsidR="00B37D57" w14:paraId="07028D06" w14:textId="77777777" w:rsidTr="00B37D57">
        <w:tc>
          <w:tcPr>
            <w:tcW w:w="8630" w:type="dxa"/>
          </w:tcPr>
          <w:p w14:paraId="2348E0EB" w14:textId="4B58215A" w:rsidR="00B37D57" w:rsidRPr="00B37D57" w:rsidRDefault="00B37D57" w:rsidP="00B37D57">
            <w:bookmarkStart w:id="11" w:name="OLE_LINK16"/>
            <w:r w:rsidRPr="00B37D57">
              <w:rPr>
                <w:b/>
                <w:bCs/>
                <w:highlight w:val="green"/>
                <w:lang w:val="en-GB"/>
              </w:rPr>
              <w:t>Agreement</w:t>
            </w:r>
          </w:p>
          <w:p w14:paraId="3DE96034" w14:textId="77777777" w:rsidR="00B37D57" w:rsidRPr="00B37D57" w:rsidRDefault="00B37D57" w:rsidP="00B37D57">
            <w:pPr>
              <w:contextualSpacing/>
            </w:pPr>
            <w:r w:rsidRPr="00B37D57">
              <w:rPr>
                <w:lang w:val="en-GB"/>
              </w:rPr>
              <w:t xml:space="preserve">Further study the feasibility of large frequency shift (large FS, </w:t>
            </w:r>
            <w:proofErr w:type="gramStart"/>
            <w:r w:rsidRPr="00B37D57">
              <w:rPr>
                <w:lang w:val="en-GB"/>
              </w:rPr>
              <w:t>i.e.</w:t>
            </w:r>
            <w:proofErr w:type="gramEnd"/>
            <w:r w:rsidRPr="00B37D57">
              <w:rPr>
                <w:lang w:val="en-GB"/>
              </w:rPr>
              <w:t xml:space="preserve"> between DL/UL spectrum of an FDD band) </w:t>
            </w:r>
            <w:bookmarkStart w:id="12" w:name="OLE_LINK7"/>
            <w:r w:rsidRPr="00B37D57">
              <w:rPr>
                <w:lang w:val="en-GB"/>
              </w:rPr>
              <w:t>for device 2a</w:t>
            </w:r>
            <w:bookmarkEnd w:id="12"/>
            <w:r w:rsidRPr="00B37D57">
              <w:rPr>
                <w:lang w:val="en-GB"/>
              </w:rPr>
              <w:t xml:space="preserve"> considering at least following aspects.</w:t>
            </w:r>
          </w:p>
          <w:p w14:paraId="3D1C73A6" w14:textId="77777777" w:rsidR="00B37D57" w:rsidRPr="00B37D57" w:rsidRDefault="00B37D57" w:rsidP="00B37D57">
            <w:pPr>
              <w:numPr>
                <w:ilvl w:val="0"/>
                <w:numId w:val="18"/>
              </w:numPr>
              <w:contextualSpacing/>
            </w:pPr>
            <w:r w:rsidRPr="00B37D57">
              <w:rPr>
                <w:lang w:val="en-GB"/>
              </w:rPr>
              <w:t>Power consumption characteristics</w:t>
            </w:r>
          </w:p>
          <w:p w14:paraId="078D6918" w14:textId="77777777" w:rsidR="00B37D57" w:rsidRPr="00B37D57" w:rsidRDefault="00B37D57" w:rsidP="00B37D57">
            <w:pPr>
              <w:numPr>
                <w:ilvl w:val="0"/>
                <w:numId w:val="18"/>
              </w:numPr>
              <w:contextualSpacing/>
            </w:pPr>
            <w:bookmarkStart w:id="13" w:name="OLE_LINK10"/>
            <w:r w:rsidRPr="00B37D57">
              <w:rPr>
                <w:lang w:val="en-GB"/>
              </w:rPr>
              <w:t>Frequency shift range</w:t>
            </w:r>
            <w:bookmarkEnd w:id="13"/>
            <w:r w:rsidRPr="00B37D57">
              <w:rPr>
                <w:lang w:val="en-GB"/>
              </w:rPr>
              <w:t xml:space="preserve"> and </w:t>
            </w:r>
            <w:bookmarkStart w:id="14" w:name="OLE_LINK12"/>
            <w:r w:rsidRPr="00B37D57">
              <w:rPr>
                <w:lang w:val="en-GB"/>
              </w:rPr>
              <w:t>granularity</w:t>
            </w:r>
            <w:bookmarkEnd w:id="14"/>
          </w:p>
          <w:p w14:paraId="570583A0" w14:textId="77777777" w:rsidR="00B37D57" w:rsidRPr="00B37D57" w:rsidRDefault="00B37D57" w:rsidP="00B37D57">
            <w:pPr>
              <w:numPr>
                <w:ilvl w:val="0"/>
                <w:numId w:val="18"/>
              </w:numPr>
              <w:contextualSpacing/>
            </w:pPr>
            <w:bookmarkStart w:id="15" w:name="OLE_LINK13"/>
            <w:r w:rsidRPr="00B37D57">
              <w:rPr>
                <w:lang w:val="en-GB"/>
              </w:rPr>
              <w:lastRenderedPageBreak/>
              <w:t>Image suppression</w:t>
            </w:r>
            <w:bookmarkEnd w:id="15"/>
            <w:r w:rsidRPr="00B37D57">
              <w:rPr>
                <w:lang w:val="en-GB"/>
              </w:rPr>
              <w:t xml:space="preserve"> or SSB backscatter for large FS</w:t>
            </w:r>
          </w:p>
          <w:p w14:paraId="09977D06" w14:textId="77777777" w:rsidR="00B37D57" w:rsidRPr="00B37D57" w:rsidRDefault="00B37D57" w:rsidP="00B37D57">
            <w:pPr>
              <w:numPr>
                <w:ilvl w:val="0"/>
                <w:numId w:val="18"/>
              </w:numPr>
              <w:contextualSpacing/>
            </w:pPr>
            <w:r w:rsidRPr="00B37D57">
              <w:rPr>
                <w:lang w:val="en-GB"/>
              </w:rPr>
              <w:t>IF carrier frequency accuracy</w:t>
            </w:r>
          </w:p>
          <w:p w14:paraId="13A4183D" w14:textId="77777777" w:rsidR="00B37D57" w:rsidRPr="00B37D57" w:rsidRDefault="00B37D57" w:rsidP="00B37D57">
            <w:pPr>
              <w:numPr>
                <w:ilvl w:val="0"/>
                <w:numId w:val="18"/>
              </w:numPr>
            </w:pPr>
            <w:bookmarkStart w:id="16" w:name="OLE_LINK14"/>
            <w:r w:rsidRPr="00B37D57">
              <w:rPr>
                <w:lang w:val="en-GB"/>
              </w:rPr>
              <w:t xml:space="preserve">Harmonics </w:t>
            </w:r>
            <w:bookmarkEnd w:id="16"/>
            <w:r w:rsidRPr="00B37D57">
              <w:rPr>
                <w:lang w:val="en-GB"/>
              </w:rPr>
              <w:t>suppression</w:t>
            </w:r>
          </w:p>
          <w:p w14:paraId="5FBA3EA8" w14:textId="465E30DC" w:rsidR="00B37D57" w:rsidRPr="00B37D57" w:rsidRDefault="00B37D57" w:rsidP="00B37D57">
            <w:r w:rsidRPr="00B37D57">
              <w:rPr>
                <w:lang w:val="en-GB"/>
              </w:rPr>
              <w:t>Note: the necessity (including applicable potential scenarios) of large FS can still be discussed in other agendas of the SI</w:t>
            </w:r>
          </w:p>
        </w:tc>
      </w:tr>
    </w:tbl>
    <w:p w14:paraId="64E02D99" w14:textId="77777777" w:rsidR="00B37D57" w:rsidRDefault="00B37D57" w:rsidP="00B37D57">
      <w:pPr>
        <w:spacing w:beforeLines="50" w:before="120"/>
      </w:pPr>
      <w:r>
        <w:lastRenderedPageBreak/>
        <w:t xml:space="preserve">One remaining issue is whether to support large frequency shifts (Large FS) </w:t>
      </w:r>
      <w:r w:rsidRPr="00B37D57">
        <w:t>for device 2a</w:t>
      </w:r>
      <w:r>
        <w:t xml:space="preserve">, which promises to be </w:t>
      </w:r>
      <w:bookmarkStart w:id="17" w:name="OLE_LINK8"/>
      <w:r>
        <w:t xml:space="preserve">beneficial </w:t>
      </w:r>
      <w:bookmarkEnd w:id="17"/>
      <w:r>
        <w:t xml:space="preserve">for efficient spectrum use and interference management. But some concerns are raised. </w:t>
      </w:r>
    </w:p>
    <w:p w14:paraId="4E41BE14" w14:textId="1F57622F" w:rsidR="00B37D57" w:rsidRDefault="00B37D57" w:rsidP="00B37D57">
      <w:pPr>
        <w:spacing w:beforeLines="50" w:before="120"/>
      </w:pPr>
      <w:r>
        <w:t xml:space="preserve">Large FS can be implemented using ring oscillators. </w:t>
      </w:r>
      <w:r>
        <w:fldChar w:fldCharType="begin"/>
      </w:r>
      <w:r>
        <w:instrText xml:space="preserve"> REF _Ref166158865 \r \h </w:instrText>
      </w:r>
      <w:r>
        <w:fldChar w:fldCharType="separate"/>
      </w:r>
      <w:r>
        <w:t>[2]</w:t>
      </w:r>
      <w:r>
        <w:fldChar w:fldCharType="end"/>
      </w:r>
      <w:r>
        <w:t xml:space="preserve"> </w:t>
      </w:r>
      <w:r w:rsidRPr="00B37D57">
        <w:t xml:space="preserve">demonstrates a </w:t>
      </w:r>
      <w:bookmarkStart w:id="18" w:name="OLE_LINK15"/>
      <w:r>
        <w:t>sub-milliwatt power</w:t>
      </w:r>
      <w:r w:rsidRPr="00B37D57">
        <w:t xml:space="preserve"> consumption </w:t>
      </w:r>
      <w:bookmarkEnd w:id="18"/>
      <w:r w:rsidRPr="00B37D57">
        <w:t xml:space="preserve">for a 10MHz shift. </w:t>
      </w:r>
      <w:r>
        <w:fldChar w:fldCharType="begin"/>
      </w:r>
      <w:r>
        <w:instrText xml:space="preserve"> REF _Ref166158873 \r \h </w:instrText>
      </w:r>
      <w:r>
        <w:fldChar w:fldCharType="separate"/>
      </w:r>
      <w:r>
        <w:t>[3]</w:t>
      </w:r>
      <w:r>
        <w:fldChar w:fldCharType="end"/>
      </w:r>
      <w:r w:rsidRPr="00B37D57">
        <w:t xml:space="preserve"> also references several µW power consumption levels. </w:t>
      </w:r>
      <w:r>
        <w:fldChar w:fldCharType="begin"/>
      </w:r>
      <w:r>
        <w:instrText xml:space="preserve"> REF _Ref166159565 \r \h </w:instrText>
      </w:r>
      <w:r>
        <w:fldChar w:fldCharType="separate"/>
      </w:r>
      <w:r>
        <w:t>[4]</w:t>
      </w:r>
      <w:r>
        <w:fldChar w:fldCharType="end"/>
      </w:r>
      <w:r>
        <w:t xml:space="preserve"> mentioned r</w:t>
      </w:r>
      <w:r w:rsidRPr="00B37D57">
        <w:t>ing oscillator</w:t>
      </w:r>
      <w:r>
        <w:t>s</w:t>
      </w:r>
      <w:r w:rsidRPr="00B37D57">
        <w:t xml:space="preserve"> </w:t>
      </w:r>
      <w:r>
        <w:t xml:space="preserve">can provide wide tuning range, which can </w:t>
      </w:r>
      <w:r w:rsidRPr="00B37D57">
        <w:t>be electrically tuned</w:t>
      </w:r>
      <w:r>
        <w:t>. However, we recognize some enhancement may be needed for using Large FS, e.g., interference suppression, but it can be feasible by a sub-milliwatt power budget.</w:t>
      </w:r>
    </w:p>
    <w:p w14:paraId="765E5F24" w14:textId="4F5A503B" w:rsidR="00B37D57" w:rsidRPr="00B37D57" w:rsidRDefault="00B37D57" w:rsidP="00B37D57">
      <w:pPr>
        <w:spacing w:beforeLines="50" w:before="120"/>
        <w:ind w:left="1440" w:hanging="1440"/>
        <w:rPr>
          <w:rFonts w:eastAsia="SimSun"/>
          <w:b/>
          <w:bCs/>
        </w:rPr>
      </w:pPr>
      <w:bookmarkStart w:id="19" w:name="OLE_LINK17"/>
      <w:r w:rsidRPr="00B37D57">
        <w:rPr>
          <w:rFonts w:eastAsia="SimSun"/>
          <w:b/>
          <w:bCs/>
        </w:rPr>
        <w:t xml:space="preserve">Observation 2: </w:t>
      </w:r>
      <w:r>
        <w:rPr>
          <w:rFonts w:eastAsia="SimSun"/>
          <w:b/>
          <w:bCs/>
        </w:rPr>
        <w:tab/>
      </w:r>
      <w:r w:rsidRPr="00B37D57">
        <w:rPr>
          <w:rFonts w:eastAsia="SimSun"/>
          <w:b/>
          <w:bCs/>
        </w:rPr>
        <w:t xml:space="preserve">Ring oscillators can </w:t>
      </w:r>
      <w:r>
        <w:rPr>
          <w:rFonts w:eastAsia="SimSun"/>
          <w:b/>
          <w:bCs/>
        </w:rPr>
        <w:t>offer a wide tuning range</w:t>
      </w:r>
      <w:r w:rsidRPr="00B37D57">
        <w:rPr>
          <w:rFonts w:eastAsia="SimSun"/>
          <w:b/>
          <w:bCs/>
        </w:rPr>
        <w:t xml:space="preserve"> with sub-milliwatt power consumption and. However, enhancements may be needed for interference suppression</w:t>
      </w:r>
      <w:r>
        <w:rPr>
          <w:rFonts w:eastAsia="SimSun"/>
          <w:b/>
          <w:bCs/>
        </w:rPr>
        <w:t>.</w:t>
      </w:r>
    </w:p>
    <w:bookmarkEnd w:id="19"/>
    <w:p w14:paraId="2E8D70F5" w14:textId="6CD7FCE4" w:rsidR="00B37D57" w:rsidRDefault="00B37D57" w:rsidP="00B37D57">
      <w:pPr>
        <w:spacing w:beforeLines="50" w:before="120"/>
        <w:rPr>
          <w:b/>
        </w:rPr>
      </w:pPr>
      <w:r>
        <w:t>Support of large FSs</w:t>
      </w:r>
      <w:r w:rsidRPr="00B37D57">
        <w:t xml:space="preserve"> would reduce the burden of interference management </w:t>
      </w:r>
      <w:r>
        <w:t>for a UE reader</w:t>
      </w:r>
      <w:r w:rsidRPr="00B37D57">
        <w:t>. With this regard, the frequency shifter for device 2a should be considered at least for a 10MHz shift.</w:t>
      </w:r>
    </w:p>
    <w:p w14:paraId="6028F1B1" w14:textId="350DBA07" w:rsidR="00B37D57" w:rsidRPr="00B37D57" w:rsidRDefault="00B12F60" w:rsidP="00B37D57">
      <w:pPr>
        <w:spacing w:beforeLines="50" w:before="120"/>
        <w:ind w:left="1440" w:hanging="1440"/>
        <w:rPr>
          <w:rFonts w:eastAsia="SimSun"/>
          <w:b/>
        </w:rPr>
      </w:pPr>
      <w:bookmarkStart w:id="20" w:name="OLE_LINK20"/>
      <w:r>
        <w:rPr>
          <w:b/>
        </w:rPr>
        <w:t>Proposal 2:</w:t>
      </w:r>
      <w:r>
        <w:rPr>
          <w:b/>
        </w:rPr>
        <w:tab/>
      </w:r>
      <w:r w:rsidR="00B37D57">
        <w:rPr>
          <w:b/>
        </w:rPr>
        <w:t>S</w:t>
      </w:r>
      <w:r w:rsidR="00B37D57" w:rsidRPr="00B37D57">
        <w:rPr>
          <w:b/>
        </w:rPr>
        <w:t>upport Large FS for device 2a and 2b, targeting at least a 10MHz shift to improve spectrum efficiency and reduce interference.</w:t>
      </w:r>
    </w:p>
    <w:bookmarkEnd w:id="11"/>
    <w:bookmarkEnd w:id="20"/>
    <w:p w14:paraId="4E5E280F" w14:textId="77777777" w:rsidR="003446F9" w:rsidRDefault="00B12F60">
      <w:pPr>
        <w:pStyle w:val="Heading1"/>
      </w:pPr>
      <w:r>
        <w:t>Conclusion</w:t>
      </w:r>
    </w:p>
    <w:p w14:paraId="0D33AFD4" w14:textId="3D2EE640" w:rsidR="003446F9" w:rsidRDefault="00B12F60">
      <w:bookmarkStart w:id="21" w:name="OLE_LINK21"/>
      <w:r>
        <w:t xml:space="preserve">In this contribution, we have the following </w:t>
      </w:r>
      <w:r w:rsidR="00B37D57">
        <w:t xml:space="preserve">observations and </w:t>
      </w:r>
      <w:r>
        <w:t>proposals:</w:t>
      </w:r>
    </w:p>
    <w:p w14:paraId="32B9E925" w14:textId="348EEE3D" w:rsidR="00B37D57" w:rsidRDefault="00B37D57" w:rsidP="00B37D57">
      <w:pPr>
        <w:ind w:left="1440" w:hanging="1440"/>
        <w:rPr>
          <w:b/>
          <w:bCs/>
        </w:rPr>
      </w:pPr>
      <w:r>
        <w:rPr>
          <w:b/>
          <w:bCs/>
        </w:rPr>
        <w:t>Observation 1:</w:t>
      </w:r>
      <w:r>
        <w:rPr>
          <w:b/>
          <w:bCs/>
        </w:rPr>
        <w:tab/>
        <w:t>One-way reflection amplifiers can provide at least 10-dB gain with sub-milliwatt power consumption. However, typical two-way reflection amplifiers.</w:t>
      </w:r>
    </w:p>
    <w:p w14:paraId="71819FA6" w14:textId="77777777" w:rsidR="00B37D57" w:rsidRDefault="00B37D57" w:rsidP="00B37D57">
      <w:pPr>
        <w:spacing w:beforeLines="50" w:before="120"/>
        <w:ind w:left="1440" w:hanging="1440"/>
        <w:rPr>
          <w:rFonts w:eastAsia="SimSun"/>
          <w:b/>
          <w:bCs/>
        </w:rPr>
      </w:pPr>
      <w:r>
        <w:rPr>
          <w:rFonts w:eastAsia="SimSun"/>
          <w:b/>
          <w:bCs/>
        </w:rPr>
        <w:t xml:space="preserve">Observation 2: </w:t>
      </w:r>
      <w:r>
        <w:rPr>
          <w:rFonts w:eastAsia="SimSun"/>
          <w:b/>
          <w:bCs/>
        </w:rPr>
        <w:tab/>
        <w:t>Ring oscillators can offer a wide tuning range with sub-milliwatt power consumption and. However, enhancements may be needed for interference suppression.</w:t>
      </w:r>
    </w:p>
    <w:p w14:paraId="08FA8783" w14:textId="77777777" w:rsidR="00B37D57" w:rsidRDefault="00B37D57" w:rsidP="00B37D57">
      <w:pPr>
        <w:ind w:left="1440" w:hanging="1440"/>
        <w:rPr>
          <w:b/>
          <w:bCs/>
        </w:rPr>
      </w:pPr>
      <w:r>
        <w:rPr>
          <w:b/>
          <w:bCs/>
        </w:rPr>
        <w:t>Proposal 1: </w:t>
      </w:r>
      <w:r>
        <w:rPr>
          <w:b/>
          <w:bCs/>
        </w:rPr>
        <w:tab/>
        <w:t>Support one-way reflection amplifiers for Device 2a, considering one-way amplification gain at least 10 dB, and avoiding the need for LNAs and RX amplifiers in two-way amplifiers.</w:t>
      </w:r>
    </w:p>
    <w:p w14:paraId="01C955E9" w14:textId="77777777" w:rsidR="00B37D57" w:rsidRDefault="00B37D57" w:rsidP="00B37D57">
      <w:pPr>
        <w:spacing w:beforeLines="50" w:before="120"/>
        <w:ind w:left="1440" w:hanging="1440"/>
        <w:rPr>
          <w:rFonts w:eastAsia="SimSun"/>
          <w:b/>
        </w:rPr>
      </w:pPr>
      <w:r>
        <w:rPr>
          <w:b/>
        </w:rPr>
        <w:t>Proposal 2:</w:t>
      </w:r>
      <w:r>
        <w:rPr>
          <w:b/>
        </w:rPr>
        <w:tab/>
        <w:t>Support Large FS for device 2a and 2b, targeting at least a 10MHz shift to improve spectrum efficiency and reduce interference.</w:t>
      </w:r>
    </w:p>
    <w:bookmarkEnd w:id="21"/>
    <w:p w14:paraId="7754607B" w14:textId="37DB50F9" w:rsidR="00B37D57" w:rsidRDefault="00B37D57" w:rsidP="00B37D57">
      <w:pPr>
        <w:pStyle w:val="Heading1"/>
        <w:rPr>
          <w:rFonts w:eastAsia="SimSun"/>
        </w:rPr>
      </w:pPr>
      <w:r>
        <w:rPr>
          <w:rFonts w:eastAsia="SimSun"/>
        </w:rPr>
        <w:t>Reference</w:t>
      </w:r>
    </w:p>
    <w:p w14:paraId="73BE296F" w14:textId="1A489973" w:rsidR="00B37D57" w:rsidRDefault="00B37D57" w:rsidP="00B37D57">
      <w:pPr>
        <w:pStyle w:val="Reference"/>
        <w:rPr>
          <w:rFonts w:eastAsia="SimSun"/>
          <w:lang w:val="en-GB"/>
        </w:rPr>
      </w:pPr>
      <w:bookmarkStart w:id="22" w:name="_Ref166157856"/>
      <w:proofErr w:type="spellStart"/>
      <w:r w:rsidRPr="00B37D57">
        <w:rPr>
          <w:rFonts w:eastAsia="SimSun"/>
          <w:lang w:val="en-GB"/>
        </w:rPr>
        <w:t>Kimionis</w:t>
      </w:r>
      <w:proofErr w:type="spellEnd"/>
      <w:r w:rsidRPr="00B37D57">
        <w:rPr>
          <w:rFonts w:eastAsia="SimSun"/>
          <w:lang w:val="en-GB"/>
        </w:rPr>
        <w:t xml:space="preserve"> J, Georgiadis A, Kim S, </w:t>
      </w:r>
      <w:proofErr w:type="spellStart"/>
      <w:r w:rsidRPr="00B37D57">
        <w:rPr>
          <w:rFonts w:eastAsia="SimSun"/>
          <w:lang w:val="en-GB"/>
        </w:rPr>
        <w:t>Collado</w:t>
      </w:r>
      <w:proofErr w:type="spellEnd"/>
      <w:r w:rsidRPr="00B37D57">
        <w:rPr>
          <w:rFonts w:eastAsia="SimSun"/>
          <w:lang w:val="en-GB"/>
        </w:rPr>
        <w:t xml:space="preserve"> A, </w:t>
      </w:r>
      <w:proofErr w:type="spellStart"/>
      <w:r w:rsidRPr="00B37D57">
        <w:rPr>
          <w:rFonts w:eastAsia="SimSun"/>
          <w:lang w:val="en-GB"/>
        </w:rPr>
        <w:t>Niotaki</w:t>
      </w:r>
      <w:proofErr w:type="spellEnd"/>
      <w:r w:rsidRPr="00B37D57">
        <w:rPr>
          <w:rFonts w:eastAsia="SimSun"/>
          <w:lang w:val="en-GB"/>
        </w:rPr>
        <w:t xml:space="preserve"> K, </w:t>
      </w:r>
      <w:proofErr w:type="spellStart"/>
      <w:r w:rsidRPr="00B37D57">
        <w:rPr>
          <w:rFonts w:eastAsia="SimSun"/>
          <w:lang w:val="en-GB"/>
        </w:rPr>
        <w:t>Tentzeris</w:t>
      </w:r>
      <w:proofErr w:type="spellEnd"/>
      <w:r w:rsidRPr="00B37D57">
        <w:rPr>
          <w:rFonts w:eastAsia="SimSun"/>
          <w:lang w:val="en-GB"/>
        </w:rPr>
        <w:t xml:space="preserve"> MM. An enhanced-range RFID tag using an ambient energy powered reflection amplifier. In2014 IEEE MTT-S International Microwave Symposium (IMS2014) 2014 Jun 1 (pp. 1-4). IEEE.</w:t>
      </w:r>
      <w:bookmarkEnd w:id="22"/>
    </w:p>
    <w:p w14:paraId="7498D3B7" w14:textId="77777777" w:rsidR="00B37D57" w:rsidRDefault="00B37D57" w:rsidP="00B37D57">
      <w:pPr>
        <w:pStyle w:val="Reference"/>
        <w:rPr>
          <w:rFonts w:eastAsia="SimSun"/>
          <w:lang w:val="en-GB"/>
        </w:rPr>
      </w:pPr>
      <w:bookmarkStart w:id="23" w:name="_Ref166158865"/>
      <w:r>
        <w:rPr>
          <w:rFonts w:eastAsia="SimSun"/>
          <w:lang w:val="en-GB"/>
        </w:rPr>
        <w:t>S. -</w:t>
      </w:r>
      <w:proofErr w:type="spellStart"/>
      <w:r>
        <w:rPr>
          <w:rFonts w:eastAsia="SimSun"/>
          <w:lang w:val="en-GB"/>
        </w:rPr>
        <w:t>i</w:t>
      </w:r>
      <w:proofErr w:type="spellEnd"/>
      <w:r>
        <w:rPr>
          <w:rFonts w:eastAsia="SimSun"/>
          <w:lang w:val="en-GB"/>
        </w:rPr>
        <w:t xml:space="preserve">. </w:t>
      </w:r>
      <w:proofErr w:type="spellStart"/>
      <w:r>
        <w:rPr>
          <w:rFonts w:eastAsia="SimSun"/>
          <w:lang w:val="en-GB"/>
        </w:rPr>
        <w:t>Cheon</w:t>
      </w:r>
      <w:proofErr w:type="spellEnd"/>
      <w:r>
        <w:rPr>
          <w:rFonts w:eastAsia="SimSun"/>
          <w:lang w:val="en-GB"/>
        </w:rPr>
        <w:t xml:space="preserve">, S. -J. </w:t>
      </w:r>
      <w:proofErr w:type="spellStart"/>
      <w:r>
        <w:rPr>
          <w:rFonts w:eastAsia="SimSun"/>
          <w:lang w:val="en-GB"/>
        </w:rPr>
        <w:t>Kweon</w:t>
      </w:r>
      <w:proofErr w:type="spellEnd"/>
      <w:r>
        <w:rPr>
          <w:rFonts w:eastAsia="SimSun"/>
          <w:lang w:val="en-GB"/>
        </w:rPr>
        <w:t xml:space="preserve">, Y. Kim, S. </w:t>
      </w:r>
      <w:proofErr w:type="gramStart"/>
      <w:r>
        <w:rPr>
          <w:rFonts w:eastAsia="SimSun"/>
          <w:lang w:val="en-GB"/>
        </w:rPr>
        <w:t>Ha</w:t>
      </w:r>
      <w:proofErr w:type="gramEnd"/>
      <w:r>
        <w:rPr>
          <w:rFonts w:eastAsia="SimSun"/>
          <w:lang w:val="en-GB"/>
        </w:rPr>
        <w:t xml:space="preserve"> and M. Je, "</w:t>
      </w:r>
      <w:bookmarkStart w:id="24" w:name="OLE_LINK33"/>
      <w:r>
        <w:rPr>
          <w:rFonts w:eastAsia="SimSun"/>
          <w:lang w:val="en-GB"/>
        </w:rPr>
        <w:t>A Power-Efficient, Wide-Frequency-Range Impedance Measurement IC Using Frequency-Shift Technique</w:t>
      </w:r>
      <w:bookmarkEnd w:id="24"/>
      <w:r>
        <w:rPr>
          <w:rFonts w:eastAsia="SimSun"/>
          <w:lang w:val="en-GB"/>
        </w:rPr>
        <w:t>," 2021 IEEE International Symposium on Circuits and Systems (ISCAS), Daegu, Korea, 2021, pp. 1-5.</w:t>
      </w:r>
      <w:bookmarkEnd w:id="23"/>
    </w:p>
    <w:p w14:paraId="25FF0812" w14:textId="77777777" w:rsidR="00B37D57" w:rsidRDefault="00B37D57" w:rsidP="00B37D57">
      <w:pPr>
        <w:pStyle w:val="Reference"/>
        <w:rPr>
          <w:rFonts w:eastAsia="SimSun"/>
          <w:lang w:val="en-GB"/>
        </w:rPr>
      </w:pPr>
      <w:bookmarkStart w:id="25" w:name="OLE_LINK11"/>
      <w:bookmarkStart w:id="26" w:name="_Ref166158873"/>
      <w:r>
        <w:t>R1-2400735</w:t>
      </w:r>
      <w:bookmarkEnd w:id="25"/>
      <w:r>
        <w:t>, Considerations for Ambient-IoT device architectures, Samsung</w:t>
      </w:r>
      <w:bookmarkEnd w:id="26"/>
    </w:p>
    <w:p w14:paraId="6E338334" w14:textId="68DADBCE" w:rsidR="00B37D57" w:rsidRPr="00B37D57" w:rsidRDefault="00B37D57" w:rsidP="00B37D57">
      <w:pPr>
        <w:pStyle w:val="Reference"/>
        <w:rPr>
          <w:rFonts w:eastAsia="SimSun"/>
          <w:lang w:val="en-GB"/>
        </w:rPr>
      </w:pPr>
      <w:bookmarkStart w:id="27" w:name="_Ref166159565"/>
      <w:r w:rsidRPr="00B37D57">
        <w:rPr>
          <w:rFonts w:eastAsia="SimSun"/>
          <w:lang w:val="en-GB"/>
        </w:rPr>
        <w:t>Mandal, M.K. and Sarkar, B.C., 2010. Ring oscillators: Characteristics and applications.</w:t>
      </w:r>
      <w:bookmarkEnd w:id="27"/>
    </w:p>
    <w:sectPr w:rsidR="00B37D57" w:rsidRPr="00B37D57">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E59702B"/>
    <w:multiLevelType w:val="hybridMultilevel"/>
    <w:tmpl w:val="C848003C"/>
    <w:lvl w:ilvl="0" w:tplc="5E402B1C">
      <w:start w:val="1"/>
      <w:numFmt w:val="bullet"/>
      <w:lvlText w:val="•"/>
      <w:lvlJc w:val="left"/>
      <w:pPr>
        <w:tabs>
          <w:tab w:val="num" w:pos="720"/>
        </w:tabs>
        <w:ind w:left="720" w:hanging="360"/>
      </w:pPr>
      <w:rPr>
        <w:rFonts w:ascii="微軟正黑體" w:hAnsi="微軟正黑體" w:hint="default"/>
      </w:rPr>
    </w:lvl>
    <w:lvl w:ilvl="1" w:tplc="49780384" w:tentative="1">
      <w:start w:val="1"/>
      <w:numFmt w:val="bullet"/>
      <w:lvlText w:val="•"/>
      <w:lvlJc w:val="left"/>
      <w:pPr>
        <w:tabs>
          <w:tab w:val="num" w:pos="1440"/>
        </w:tabs>
        <w:ind w:left="1440" w:hanging="360"/>
      </w:pPr>
      <w:rPr>
        <w:rFonts w:ascii="微軟正黑體" w:hAnsi="微軟正黑體" w:hint="default"/>
      </w:rPr>
    </w:lvl>
    <w:lvl w:ilvl="2" w:tplc="33DA7842" w:tentative="1">
      <w:start w:val="1"/>
      <w:numFmt w:val="bullet"/>
      <w:lvlText w:val="•"/>
      <w:lvlJc w:val="left"/>
      <w:pPr>
        <w:tabs>
          <w:tab w:val="num" w:pos="2160"/>
        </w:tabs>
        <w:ind w:left="2160" w:hanging="360"/>
      </w:pPr>
      <w:rPr>
        <w:rFonts w:ascii="微軟正黑體" w:hAnsi="微軟正黑體" w:hint="default"/>
      </w:rPr>
    </w:lvl>
    <w:lvl w:ilvl="3" w:tplc="FF307E58" w:tentative="1">
      <w:start w:val="1"/>
      <w:numFmt w:val="bullet"/>
      <w:lvlText w:val="•"/>
      <w:lvlJc w:val="left"/>
      <w:pPr>
        <w:tabs>
          <w:tab w:val="num" w:pos="2880"/>
        </w:tabs>
        <w:ind w:left="2880" w:hanging="360"/>
      </w:pPr>
      <w:rPr>
        <w:rFonts w:ascii="微軟正黑體" w:hAnsi="微軟正黑體" w:hint="default"/>
      </w:rPr>
    </w:lvl>
    <w:lvl w:ilvl="4" w:tplc="9A124114" w:tentative="1">
      <w:start w:val="1"/>
      <w:numFmt w:val="bullet"/>
      <w:lvlText w:val="•"/>
      <w:lvlJc w:val="left"/>
      <w:pPr>
        <w:tabs>
          <w:tab w:val="num" w:pos="3600"/>
        </w:tabs>
        <w:ind w:left="3600" w:hanging="360"/>
      </w:pPr>
      <w:rPr>
        <w:rFonts w:ascii="微軟正黑體" w:hAnsi="微軟正黑體" w:hint="default"/>
      </w:rPr>
    </w:lvl>
    <w:lvl w:ilvl="5" w:tplc="0F50AF14" w:tentative="1">
      <w:start w:val="1"/>
      <w:numFmt w:val="bullet"/>
      <w:lvlText w:val="•"/>
      <w:lvlJc w:val="left"/>
      <w:pPr>
        <w:tabs>
          <w:tab w:val="num" w:pos="4320"/>
        </w:tabs>
        <w:ind w:left="4320" w:hanging="360"/>
      </w:pPr>
      <w:rPr>
        <w:rFonts w:ascii="微軟正黑體" w:hAnsi="微軟正黑體" w:hint="default"/>
      </w:rPr>
    </w:lvl>
    <w:lvl w:ilvl="6" w:tplc="2256C7FA" w:tentative="1">
      <w:start w:val="1"/>
      <w:numFmt w:val="bullet"/>
      <w:lvlText w:val="•"/>
      <w:lvlJc w:val="left"/>
      <w:pPr>
        <w:tabs>
          <w:tab w:val="num" w:pos="5040"/>
        </w:tabs>
        <w:ind w:left="5040" w:hanging="360"/>
      </w:pPr>
      <w:rPr>
        <w:rFonts w:ascii="微軟正黑體" w:hAnsi="微軟正黑體" w:hint="default"/>
      </w:rPr>
    </w:lvl>
    <w:lvl w:ilvl="7" w:tplc="4FE8D7AC" w:tentative="1">
      <w:start w:val="1"/>
      <w:numFmt w:val="bullet"/>
      <w:lvlText w:val="•"/>
      <w:lvlJc w:val="left"/>
      <w:pPr>
        <w:tabs>
          <w:tab w:val="num" w:pos="5760"/>
        </w:tabs>
        <w:ind w:left="5760" w:hanging="360"/>
      </w:pPr>
      <w:rPr>
        <w:rFonts w:ascii="微軟正黑體" w:hAnsi="微軟正黑體" w:hint="default"/>
      </w:rPr>
    </w:lvl>
    <w:lvl w:ilvl="8" w:tplc="77A69F34" w:tentative="1">
      <w:start w:val="1"/>
      <w:numFmt w:val="bullet"/>
      <w:lvlText w:val="•"/>
      <w:lvlJc w:val="left"/>
      <w:pPr>
        <w:tabs>
          <w:tab w:val="num" w:pos="6480"/>
        </w:tabs>
        <w:ind w:left="6480" w:hanging="360"/>
      </w:pPr>
      <w:rPr>
        <w:rFonts w:ascii="微軟正黑體" w:hAnsi="微軟正黑體" w:hint="default"/>
      </w:rPr>
    </w:lvl>
  </w:abstractNum>
  <w:abstractNum w:abstractNumId="10" w15:restartNumberingAfterBreak="0">
    <w:nsid w:val="1EFE1C9D"/>
    <w:multiLevelType w:val="hybridMultilevel"/>
    <w:tmpl w:val="D304E03C"/>
    <w:lvl w:ilvl="0" w:tplc="E07C893A">
      <w:start w:val="1"/>
      <w:numFmt w:val="bullet"/>
      <w:lvlText w:val="•"/>
      <w:lvlJc w:val="left"/>
      <w:pPr>
        <w:tabs>
          <w:tab w:val="num" w:pos="720"/>
        </w:tabs>
        <w:ind w:left="720" w:hanging="360"/>
      </w:pPr>
      <w:rPr>
        <w:rFonts w:ascii="微軟正黑體" w:hAnsi="微軟正黑體" w:hint="default"/>
      </w:rPr>
    </w:lvl>
    <w:lvl w:ilvl="1" w:tplc="D77C68CE" w:tentative="1">
      <w:start w:val="1"/>
      <w:numFmt w:val="bullet"/>
      <w:lvlText w:val="•"/>
      <w:lvlJc w:val="left"/>
      <w:pPr>
        <w:tabs>
          <w:tab w:val="num" w:pos="1440"/>
        </w:tabs>
        <w:ind w:left="1440" w:hanging="360"/>
      </w:pPr>
      <w:rPr>
        <w:rFonts w:ascii="微軟正黑體" w:hAnsi="微軟正黑體" w:hint="default"/>
      </w:rPr>
    </w:lvl>
    <w:lvl w:ilvl="2" w:tplc="16E81634" w:tentative="1">
      <w:start w:val="1"/>
      <w:numFmt w:val="bullet"/>
      <w:lvlText w:val="•"/>
      <w:lvlJc w:val="left"/>
      <w:pPr>
        <w:tabs>
          <w:tab w:val="num" w:pos="2160"/>
        </w:tabs>
        <w:ind w:left="2160" w:hanging="360"/>
      </w:pPr>
      <w:rPr>
        <w:rFonts w:ascii="微軟正黑體" w:hAnsi="微軟正黑體" w:hint="default"/>
      </w:rPr>
    </w:lvl>
    <w:lvl w:ilvl="3" w:tplc="29B44694" w:tentative="1">
      <w:start w:val="1"/>
      <w:numFmt w:val="bullet"/>
      <w:lvlText w:val="•"/>
      <w:lvlJc w:val="left"/>
      <w:pPr>
        <w:tabs>
          <w:tab w:val="num" w:pos="2880"/>
        </w:tabs>
        <w:ind w:left="2880" w:hanging="360"/>
      </w:pPr>
      <w:rPr>
        <w:rFonts w:ascii="微軟正黑體" w:hAnsi="微軟正黑體" w:hint="default"/>
      </w:rPr>
    </w:lvl>
    <w:lvl w:ilvl="4" w:tplc="0914BEA0" w:tentative="1">
      <w:start w:val="1"/>
      <w:numFmt w:val="bullet"/>
      <w:lvlText w:val="•"/>
      <w:lvlJc w:val="left"/>
      <w:pPr>
        <w:tabs>
          <w:tab w:val="num" w:pos="3600"/>
        </w:tabs>
        <w:ind w:left="3600" w:hanging="360"/>
      </w:pPr>
      <w:rPr>
        <w:rFonts w:ascii="微軟正黑體" w:hAnsi="微軟正黑體" w:hint="default"/>
      </w:rPr>
    </w:lvl>
    <w:lvl w:ilvl="5" w:tplc="A6E049D8" w:tentative="1">
      <w:start w:val="1"/>
      <w:numFmt w:val="bullet"/>
      <w:lvlText w:val="•"/>
      <w:lvlJc w:val="left"/>
      <w:pPr>
        <w:tabs>
          <w:tab w:val="num" w:pos="4320"/>
        </w:tabs>
        <w:ind w:left="4320" w:hanging="360"/>
      </w:pPr>
      <w:rPr>
        <w:rFonts w:ascii="微軟正黑體" w:hAnsi="微軟正黑體" w:hint="default"/>
      </w:rPr>
    </w:lvl>
    <w:lvl w:ilvl="6" w:tplc="6AC20918" w:tentative="1">
      <w:start w:val="1"/>
      <w:numFmt w:val="bullet"/>
      <w:lvlText w:val="•"/>
      <w:lvlJc w:val="left"/>
      <w:pPr>
        <w:tabs>
          <w:tab w:val="num" w:pos="5040"/>
        </w:tabs>
        <w:ind w:left="5040" w:hanging="360"/>
      </w:pPr>
      <w:rPr>
        <w:rFonts w:ascii="微軟正黑體" w:hAnsi="微軟正黑體" w:hint="default"/>
      </w:rPr>
    </w:lvl>
    <w:lvl w:ilvl="7" w:tplc="20560942" w:tentative="1">
      <w:start w:val="1"/>
      <w:numFmt w:val="bullet"/>
      <w:lvlText w:val="•"/>
      <w:lvlJc w:val="left"/>
      <w:pPr>
        <w:tabs>
          <w:tab w:val="num" w:pos="5760"/>
        </w:tabs>
        <w:ind w:left="5760" w:hanging="360"/>
      </w:pPr>
      <w:rPr>
        <w:rFonts w:ascii="微軟正黑體" w:hAnsi="微軟正黑體" w:hint="default"/>
      </w:rPr>
    </w:lvl>
    <w:lvl w:ilvl="8" w:tplc="AD5E99E6" w:tentative="1">
      <w:start w:val="1"/>
      <w:numFmt w:val="bullet"/>
      <w:lvlText w:val="•"/>
      <w:lvlJc w:val="left"/>
      <w:pPr>
        <w:tabs>
          <w:tab w:val="num" w:pos="6480"/>
        </w:tabs>
        <w:ind w:left="6480" w:hanging="360"/>
      </w:pPr>
      <w:rPr>
        <w:rFonts w:ascii="微軟正黑體" w:hAnsi="微軟正黑體" w:hint="default"/>
      </w:rPr>
    </w:lvl>
  </w:abstractNum>
  <w:abstractNum w:abstractNumId="11" w15:restartNumberingAfterBreak="0">
    <w:nsid w:val="28AD30E0"/>
    <w:multiLevelType w:val="hybridMultilevel"/>
    <w:tmpl w:val="86260AA2"/>
    <w:lvl w:ilvl="0" w:tplc="27BA6C5A">
      <w:start w:val="1"/>
      <w:numFmt w:val="bullet"/>
      <w:lvlText w:val=""/>
      <w:lvlJc w:val="left"/>
      <w:pPr>
        <w:tabs>
          <w:tab w:val="num" w:pos="720"/>
        </w:tabs>
        <w:ind w:left="720" w:hanging="360"/>
      </w:pPr>
      <w:rPr>
        <w:rFonts w:ascii="Symbol" w:hAnsi="Symbol" w:hint="default"/>
      </w:rPr>
    </w:lvl>
    <w:lvl w:ilvl="1" w:tplc="4BD0C586">
      <w:numFmt w:val="bullet"/>
      <w:lvlText w:val="o"/>
      <w:lvlJc w:val="left"/>
      <w:pPr>
        <w:tabs>
          <w:tab w:val="num" w:pos="1440"/>
        </w:tabs>
        <w:ind w:left="1440" w:hanging="360"/>
      </w:pPr>
      <w:rPr>
        <w:rFonts w:ascii="Courier New" w:hAnsi="Courier New" w:hint="default"/>
      </w:rPr>
    </w:lvl>
    <w:lvl w:ilvl="2" w:tplc="5ED6C780">
      <w:numFmt w:val="bullet"/>
      <w:lvlText w:val=""/>
      <w:lvlJc w:val="left"/>
      <w:pPr>
        <w:tabs>
          <w:tab w:val="num" w:pos="2160"/>
        </w:tabs>
        <w:ind w:left="2160" w:hanging="360"/>
      </w:pPr>
      <w:rPr>
        <w:rFonts w:ascii="Wingdings" w:hAnsi="Wingdings" w:hint="default"/>
      </w:rPr>
    </w:lvl>
    <w:lvl w:ilvl="3" w:tplc="1AF8DFA4" w:tentative="1">
      <w:start w:val="1"/>
      <w:numFmt w:val="bullet"/>
      <w:lvlText w:val=""/>
      <w:lvlJc w:val="left"/>
      <w:pPr>
        <w:tabs>
          <w:tab w:val="num" w:pos="2880"/>
        </w:tabs>
        <w:ind w:left="2880" w:hanging="360"/>
      </w:pPr>
      <w:rPr>
        <w:rFonts w:ascii="Symbol" w:hAnsi="Symbol" w:hint="default"/>
      </w:rPr>
    </w:lvl>
    <w:lvl w:ilvl="4" w:tplc="1FAA1DAC" w:tentative="1">
      <w:start w:val="1"/>
      <w:numFmt w:val="bullet"/>
      <w:lvlText w:val=""/>
      <w:lvlJc w:val="left"/>
      <w:pPr>
        <w:tabs>
          <w:tab w:val="num" w:pos="3600"/>
        </w:tabs>
        <w:ind w:left="3600" w:hanging="360"/>
      </w:pPr>
      <w:rPr>
        <w:rFonts w:ascii="Symbol" w:hAnsi="Symbol" w:hint="default"/>
      </w:rPr>
    </w:lvl>
    <w:lvl w:ilvl="5" w:tplc="D27C82BE" w:tentative="1">
      <w:start w:val="1"/>
      <w:numFmt w:val="bullet"/>
      <w:lvlText w:val=""/>
      <w:lvlJc w:val="left"/>
      <w:pPr>
        <w:tabs>
          <w:tab w:val="num" w:pos="4320"/>
        </w:tabs>
        <w:ind w:left="4320" w:hanging="360"/>
      </w:pPr>
      <w:rPr>
        <w:rFonts w:ascii="Symbol" w:hAnsi="Symbol" w:hint="default"/>
      </w:rPr>
    </w:lvl>
    <w:lvl w:ilvl="6" w:tplc="268AE962" w:tentative="1">
      <w:start w:val="1"/>
      <w:numFmt w:val="bullet"/>
      <w:lvlText w:val=""/>
      <w:lvlJc w:val="left"/>
      <w:pPr>
        <w:tabs>
          <w:tab w:val="num" w:pos="5040"/>
        </w:tabs>
        <w:ind w:left="5040" w:hanging="360"/>
      </w:pPr>
      <w:rPr>
        <w:rFonts w:ascii="Symbol" w:hAnsi="Symbol" w:hint="default"/>
      </w:rPr>
    </w:lvl>
    <w:lvl w:ilvl="7" w:tplc="0CF8D974" w:tentative="1">
      <w:start w:val="1"/>
      <w:numFmt w:val="bullet"/>
      <w:lvlText w:val=""/>
      <w:lvlJc w:val="left"/>
      <w:pPr>
        <w:tabs>
          <w:tab w:val="num" w:pos="5760"/>
        </w:tabs>
        <w:ind w:left="5760" w:hanging="360"/>
      </w:pPr>
      <w:rPr>
        <w:rFonts w:ascii="Symbol" w:hAnsi="Symbol" w:hint="default"/>
      </w:rPr>
    </w:lvl>
    <w:lvl w:ilvl="8" w:tplc="F9F4B61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BED6F9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3" w15:restartNumberingAfterBreak="0">
    <w:nsid w:val="2DF1367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4"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5" w15:restartNumberingAfterBreak="0">
    <w:nsid w:val="436F312B"/>
    <w:multiLevelType w:val="hybridMultilevel"/>
    <w:tmpl w:val="EF60B4EC"/>
    <w:lvl w:ilvl="0" w:tplc="484C096E">
      <w:start w:val="1"/>
      <w:numFmt w:val="bullet"/>
      <w:lvlText w:val="•"/>
      <w:lvlJc w:val="left"/>
      <w:pPr>
        <w:tabs>
          <w:tab w:val="num" w:pos="720"/>
        </w:tabs>
        <w:ind w:left="720" w:hanging="360"/>
      </w:pPr>
      <w:rPr>
        <w:rFonts w:ascii="微軟正黑體" w:hAnsi="微軟正黑體" w:hint="default"/>
      </w:rPr>
    </w:lvl>
    <w:lvl w:ilvl="1" w:tplc="083AF2D0" w:tentative="1">
      <w:start w:val="1"/>
      <w:numFmt w:val="bullet"/>
      <w:lvlText w:val="•"/>
      <w:lvlJc w:val="left"/>
      <w:pPr>
        <w:tabs>
          <w:tab w:val="num" w:pos="1440"/>
        </w:tabs>
        <w:ind w:left="1440" w:hanging="360"/>
      </w:pPr>
      <w:rPr>
        <w:rFonts w:ascii="微軟正黑體" w:hAnsi="微軟正黑體" w:hint="default"/>
      </w:rPr>
    </w:lvl>
    <w:lvl w:ilvl="2" w:tplc="D5B29B60" w:tentative="1">
      <w:start w:val="1"/>
      <w:numFmt w:val="bullet"/>
      <w:lvlText w:val="•"/>
      <w:lvlJc w:val="left"/>
      <w:pPr>
        <w:tabs>
          <w:tab w:val="num" w:pos="2160"/>
        </w:tabs>
        <w:ind w:left="2160" w:hanging="360"/>
      </w:pPr>
      <w:rPr>
        <w:rFonts w:ascii="微軟正黑體" w:hAnsi="微軟正黑體" w:hint="default"/>
      </w:rPr>
    </w:lvl>
    <w:lvl w:ilvl="3" w:tplc="5B96088C" w:tentative="1">
      <w:start w:val="1"/>
      <w:numFmt w:val="bullet"/>
      <w:lvlText w:val="•"/>
      <w:lvlJc w:val="left"/>
      <w:pPr>
        <w:tabs>
          <w:tab w:val="num" w:pos="2880"/>
        </w:tabs>
        <w:ind w:left="2880" w:hanging="360"/>
      </w:pPr>
      <w:rPr>
        <w:rFonts w:ascii="微軟正黑體" w:hAnsi="微軟正黑體" w:hint="default"/>
      </w:rPr>
    </w:lvl>
    <w:lvl w:ilvl="4" w:tplc="3AF2CF72" w:tentative="1">
      <w:start w:val="1"/>
      <w:numFmt w:val="bullet"/>
      <w:lvlText w:val="•"/>
      <w:lvlJc w:val="left"/>
      <w:pPr>
        <w:tabs>
          <w:tab w:val="num" w:pos="3600"/>
        </w:tabs>
        <w:ind w:left="3600" w:hanging="360"/>
      </w:pPr>
      <w:rPr>
        <w:rFonts w:ascii="微軟正黑體" w:hAnsi="微軟正黑體" w:hint="default"/>
      </w:rPr>
    </w:lvl>
    <w:lvl w:ilvl="5" w:tplc="F2D682D2" w:tentative="1">
      <w:start w:val="1"/>
      <w:numFmt w:val="bullet"/>
      <w:lvlText w:val="•"/>
      <w:lvlJc w:val="left"/>
      <w:pPr>
        <w:tabs>
          <w:tab w:val="num" w:pos="4320"/>
        </w:tabs>
        <w:ind w:left="4320" w:hanging="360"/>
      </w:pPr>
      <w:rPr>
        <w:rFonts w:ascii="微軟正黑體" w:hAnsi="微軟正黑體" w:hint="default"/>
      </w:rPr>
    </w:lvl>
    <w:lvl w:ilvl="6" w:tplc="1DDCD160" w:tentative="1">
      <w:start w:val="1"/>
      <w:numFmt w:val="bullet"/>
      <w:lvlText w:val="•"/>
      <w:lvlJc w:val="left"/>
      <w:pPr>
        <w:tabs>
          <w:tab w:val="num" w:pos="5040"/>
        </w:tabs>
        <w:ind w:left="5040" w:hanging="360"/>
      </w:pPr>
      <w:rPr>
        <w:rFonts w:ascii="微軟正黑體" w:hAnsi="微軟正黑體" w:hint="default"/>
      </w:rPr>
    </w:lvl>
    <w:lvl w:ilvl="7" w:tplc="EA52DDD0" w:tentative="1">
      <w:start w:val="1"/>
      <w:numFmt w:val="bullet"/>
      <w:lvlText w:val="•"/>
      <w:lvlJc w:val="left"/>
      <w:pPr>
        <w:tabs>
          <w:tab w:val="num" w:pos="5760"/>
        </w:tabs>
        <w:ind w:left="5760" w:hanging="360"/>
      </w:pPr>
      <w:rPr>
        <w:rFonts w:ascii="微軟正黑體" w:hAnsi="微軟正黑體" w:hint="default"/>
      </w:rPr>
    </w:lvl>
    <w:lvl w:ilvl="8" w:tplc="2642400A" w:tentative="1">
      <w:start w:val="1"/>
      <w:numFmt w:val="bullet"/>
      <w:lvlText w:val="•"/>
      <w:lvlJc w:val="left"/>
      <w:pPr>
        <w:tabs>
          <w:tab w:val="num" w:pos="6480"/>
        </w:tabs>
        <w:ind w:left="6480" w:hanging="360"/>
      </w:pPr>
      <w:rPr>
        <w:rFonts w:ascii="微軟正黑體" w:hAnsi="微軟正黑體" w:hint="default"/>
      </w:rPr>
    </w:lvl>
  </w:abstractNum>
  <w:abstractNum w:abstractNumId="16"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9D10B1"/>
    <w:multiLevelType w:val="hybridMultilevel"/>
    <w:tmpl w:val="F3ACBD5A"/>
    <w:lvl w:ilvl="0" w:tplc="CFC44FD4">
      <w:start w:val="1"/>
      <w:numFmt w:val="bullet"/>
      <w:lvlText w:val=""/>
      <w:lvlJc w:val="left"/>
      <w:pPr>
        <w:tabs>
          <w:tab w:val="num" w:pos="720"/>
        </w:tabs>
        <w:ind w:left="720" w:hanging="360"/>
      </w:pPr>
      <w:rPr>
        <w:rFonts w:ascii="Symbol" w:hAnsi="Symbol" w:hint="default"/>
      </w:rPr>
    </w:lvl>
    <w:lvl w:ilvl="1" w:tplc="F25C785C" w:tentative="1">
      <w:start w:val="1"/>
      <w:numFmt w:val="bullet"/>
      <w:lvlText w:val=""/>
      <w:lvlJc w:val="left"/>
      <w:pPr>
        <w:tabs>
          <w:tab w:val="num" w:pos="1440"/>
        </w:tabs>
        <w:ind w:left="1440" w:hanging="360"/>
      </w:pPr>
      <w:rPr>
        <w:rFonts w:ascii="Symbol" w:hAnsi="Symbol" w:hint="default"/>
      </w:rPr>
    </w:lvl>
    <w:lvl w:ilvl="2" w:tplc="C40EFEFA" w:tentative="1">
      <w:start w:val="1"/>
      <w:numFmt w:val="bullet"/>
      <w:lvlText w:val=""/>
      <w:lvlJc w:val="left"/>
      <w:pPr>
        <w:tabs>
          <w:tab w:val="num" w:pos="2160"/>
        </w:tabs>
        <w:ind w:left="2160" w:hanging="360"/>
      </w:pPr>
      <w:rPr>
        <w:rFonts w:ascii="Symbol" w:hAnsi="Symbol" w:hint="default"/>
      </w:rPr>
    </w:lvl>
    <w:lvl w:ilvl="3" w:tplc="4B8457D6" w:tentative="1">
      <w:start w:val="1"/>
      <w:numFmt w:val="bullet"/>
      <w:lvlText w:val=""/>
      <w:lvlJc w:val="left"/>
      <w:pPr>
        <w:tabs>
          <w:tab w:val="num" w:pos="2880"/>
        </w:tabs>
        <w:ind w:left="2880" w:hanging="360"/>
      </w:pPr>
      <w:rPr>
        <w:rFonts w:ascii="Symbol" w:hAnsi="Symbol" w:hint="default"/>
      </w:rPr>
    </w:lvl>
    <w:lvl w:ilvl="4" w:tplc="07303278" w:tentative="1">
      <w:start w:val="1"/>
      <w:numFmt w:val="bullet"/>
      <w:lvlText w:val=""/>
      <w:lvlJc w:val="left"/>
      <w:pPr>
        <w:tabs>
          <w:tab w:val="num" w:pos="3600"/>
        </w:tabs>
        <w:ind w:left="3600" w:hanging="360"/>
      </w:pPr>
      <w:rPr>
        <w:rFonts w:ascii="Symbol" w:hAnsi="Symbol" w:hint="default"/>
      </w:rPr>
    </w:lvl>
    <w:lvl w:ilvl="5" w:tplc="6C8819A8" w:tentative="1">
      <w:start w:val="1"/>
      <w:numFmt w:val="bullet"/>
      <w:lvlText w:val=""/>
      <w:lvlJc w:val="left"/>
      <w:pPr>
        <w:tabs>
          <w:tab w:val="num" w:pos="4320"/>
        </w:tabs>
        <w:ind w:left="4320" w:hanging="360"/>
      </w:pPr>
      <w:rPr>
        <w:rFonts w:ascii="Symbol" w:hAnsi="Symbol" w:hint="default"/>
      </w:rPr>
    </w:lvl>
    <w:lvl w:ilvl="6" w:tplc="A9384FBC" w:tentative="1">
      <w:start w:val="1"/>
      <w:numFmt w:val="bullet"/>
      <w:lvlText w:val=""/>
      <w:lvlJc w:val="left"/>
      <w:pPr>
        <w:tabs>
          <w:tab w:val="num" w:pos="5040"/>
        </w:tabs>
        <w:ind w:left="5040" w:hanging="360"/>
      </w:pPr>
      <w:rPr>
        <w:rFonts w:ascii="Symbol" w:hAnsi="Symbol" w:hint="default"/>
      </w:rPr>
    </w:lvl>
    <w:lvl w:ilvl="7" w:tplc="758636EA" w:tentative="1">
      <w:start w:val="1"/>
      <w:numFmt w:val="bullet"/>
      <w:lvlText w:val=""/>
      <w:lvlJc w:val="left"/>
      <w:pPr>
        <w:tabs>
          <w:tab w:val="num" w:pos="5760"/>
        </w:tabs>
        <w:ind w:left="5760" w:hanging="360"/>
      </w:pPr>
      <w:rPr>
        <w:rFonts w:ascii="Symbol" w:hAnsi="Symbol" w:hint="default"/>
      </w:rPr>
    </w:lvl>
    <w:lvl w:ilvl="8" w:tplc="3FBECBAC" w:tentative="1">
      <w:start w:val="1"/>
      <w:numFmt w:val="bullet"/>
      <w:lvlText w:val=""/>
      <w:lvlJc w:val="left"/>
      <w:pPr>
        <w:tabs>
          <w:tab w:val="num" w:pos="6480"/>
        </w:tabs>
        <w:ind w:left="6480" w:hanging="360"/>
      </w:pPr>
      <w:rPr>
        <w:rFonts w:ascii="Symbol" w:hAnsi="Symbol" w:hint="default"/>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6"/>
  </w:num>
  <w:num w:numId="8" w16cid:durableId="494034137">
    <w:abstractNumId w:val="8"/>
  </w:num>
  <w:num w:numId="9" w16cid:durableId="1817070985">
    <w:abstractNumId w:val="7"/>
  </w:num>
  <w:num w:numId="10" w16cid:durableId="1255940425">
    <w:abstractNumId w:val="14"/>
  </w:num>
  <w:num w:numId="11" w16cid:durableId="2083480124">
    <w:abstractNumId w:val="16"/>
  </w:num>
  <w:num w:numId="12" w16cid:durableId="374085338">
    <w:abstractNumId w:val="9"/>
  </w:num>
  <w:num w:numId="13" w16cid:durableId="1262881830">
    <w:abstractNumId w:val="11"/>
  </w:num>
  <w:num w:numId="14" w16cid:durableId="2130275439">
    <w:abstractNumId w:val="12"/>
  </w:num>
  <w:num w:numId="15" w16cid:durableId="1719359607">
    <w:abstractNumId w:val="10"/>
  </w:num>
  <w:num w:numId="16" w16cid:durableId="468476539">
    <w:abstractNumId w:val="17"/>
  </w:num>
  <w:num w:numId="17" w16cid:durableId="1727996719">
    <w:abstractNumId w:val="15"/>
  </w:num>
  <w:num w:numId="18" w16cid:durableId="237445539">
    <w:abstractNumId w:val="13"/>
  </w:num>
  <w:num w:numId="19" w16cid:durableId="16834369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attachedTemplate r:id="rId1"/>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Q3sDC1MDc0sDQzMzNU0lEKTi0uzszPAykwqgUACRPacSwAAAA="/>
  </w:docVars>
  <w:rsids>
    <w:rsidRoot w:val="00086C2C"/>
    <w:rsid w:val="00034616"/>
    <w:rsid w:val="0006063C"/>
    <w:rsid w:val="00086C2C"/>
    <w:rsid w:val="001254E3"/>
    <w:rsid w:val="001276AC"/>
    <w:rsid w:val="001464B4"/>
    <w:rsid w:val="0015074B"/>
    <w:rsid w:val="0029639D"/>
    <w:rsid w:val="00326F90"/>
    <w:rsid w:val="003446F9"/>
    <w:rsid w:val="005E76A0"/>
    <w:rsid w:val="007B2CB0"/>
    <w:rsid w:val="00994E64"/>
    <w:rsid w:val="00AA1D8D"/>
    <w:rsid w:val="00AF0569"/>
    <w:rsid w:val="00B12F60"/>
    <w:rsid w:val="00B37D57"/>
    <w:rsid w:val="00B47730"/>
    <w:rsid w:val="00B6578E"/>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82F7B2"/>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 w:type="character" w:customStyle="1" w:styleId="ui-provider">
    <w:name w:val="ui-provider"/>
    <w:basedOn w:val="DefaultParagraphFont"/>
    <w:rsid w:val="001464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01030">
      <w:bodyDiv w:val="1"/>
      <w:marLeft w:val="0"/>
      <w:marRight w:val="0"/>
      <w:marTop w:val="0"/>
      <w:marBottom w:val="0"/>
      <w:divBdr>
        <w:top w:val="none" w:sz="0" w:space="0" w:color="auto"/>
        <w:left w:val="none" w:sz="0" w:space="0" w:color="auto"/>
        <w:bottom w:val="none" w:sz="0" w:space="0" w:color="auto"/>
        <w:right w:val="none" w:sz="0" w:space="0" w:color="auto"/>
      </w:divBdr>
    </w:div>
    <w:div w:id="147210390">
      <w:bodyDiv w:val="1"/>
      <w:marLeft w:val="0"/>
      <w:marRight w:val="0"/>
      <w:marTop w:val="0"/>
      <w:marBottom w:val="0"/>
      <w:divBdr>
        <w:top w:val="none" w:sz="0" w:space="0" w:color="auto"/>
        <w:left w:val="none" w:sz="0" w:space="0" w:color="auto"/>
        <w:bottom w:val="none" w:sz="0" w:space="0" w:color="auto"/>
        <w:right w:val="none" w:sz="0" w:space="0" w:color="auto"/>
      </w:divBdr>
    </w:div>
    <w:div w:id="379524887">
      <w:bodyDiv w:val="1"/>
      <w:marLeft w:val="0"/>
      <w:marRight w:val="0"/>
      <w:marTop w:val="0"/>
      <w:marBottom w:val="0"/>
      <w:divBdr>
        <w:top w:val="none" w:sz="0" w:space="0" w:color="auto"/>
        <w:left w:val="none" w:sz="0" w:space="0" w:color="auto"/>
        <w:bottom w:val="none" w:sz="0" w:space="0" w:color="auto"/>
        <w:right w:val="none" w:sz="0" w:space="0" w:color="auto"/>
      </w:divBdr>
      <w:divsChild>
        <w:div w:id="1515681648">
          <w:marLeft w:val="245"/>
          <w:marRight w:val="0"/>
          <w:marTop w:val="0"/>
          <w:marBottom w:val="0"/>
          <w:divBdr>
            <w:top w:val="none" w:sz="0" w:space="0" w:color="auto"/>
            <w:left w:val="none" w:sz="0" w:space="0" w:color="auto"/>
            <w:bottom w:val="none" w:sz="0" w:space="0" w:color="auto"/>
            <w:right w:val="none" w:sz="0" w:space="0" w:color="auto"/>
          </w:divBdr>
        </w:div>
        <w:div w:id="26101366">
          <w:marLeft w:val="245"/>
          <w:marRight w:val="0"/>
          <w:marTop w:val="0"/>
          <w:marBottom w:val="0"/>
          <w:divBdr>
            <w:top w:val="none" w:sz="0" w:space="0" w:color="auto"/>
            <w:left w:val="none" w:sz="0" w:space="0" w:color="auto"/>
            <w:bottom w:val="none" w:sz="0" w:space="0" w:color="auto"/>
            <w:right w:val="none" w:sz="0" w:space="0" w:color="auto"/>
          </w:divBdr>
        </w:div>
        <w:div w:id="714886397">
          <w:marLeft w:val="547"/>
          <w:marRight w:val="0"/>
          <w:marTop w:val="0"/>
          <w:marBottom w:val="0"/>
          <w:divBdr>
            <w:top w:val="none" w:sz="0" w:space="0" w:color="auto"/>
            <w:left w:val="none" w:sz="0" w:space="0" w:color="auto"/>
            <w:bottom w:val="none" w:sz="0" w:space="0" w:color="auto"/>
            <w:right w:val="none" w:sz="0" w:space="0" w:color="auto"/>
          </w:divBdr>
        </w:div>
        <w:div w:id="218053612">
          <w:marLeft w:val="1166"/>
          <w:marRight w:val="0"/>
          <w:marTop w:val="0"/>
          <w:marBottom w:val="0"/>
          <w:divBdr>
            <w:top w:val="none" w:sz="0" w:space="0" w:color="auto"/>
            <w:left w:val="none" w:sz="0" w:space="0" w:color="auto"/>
            <w:bottom w:val="none" w:sz="0" w:space="0" w:color="auto"/>
            <w:right w:val="none" w:sz="0" w:space="0" w:color="auto"/>
          </w:divBdr>
        </w:div>
        <w:div w:id="187446966">
          <w:marLeft w:val="1166"/>
          <w:marRight w:val="0"/>
          <w:marTop w:val="0"/>
          <w:marBottom w:val="0"/>
          <w:divBdr>
            <w:top w:val="none" w:sz="0" w:space="0" w:color="auto"/>
            <w:left w:val="none" w:sz="0" w:space="0" w:color="auto"/>
            <w:bottom w:val="none" w:sz="0" w:space="0" w:color="auto"/>
            <w:right w:val="none" w:sz="0" w:space="0" w:color="auto"/>
          </w:divBdr>
        </w:div>
        <w:div w:id="257955537">
          <w:marLeft w:val="1800"/>
          <w:marRight w:val="0"/>
          <w:marTop w:val="0"/>
          <w:marBottom w:val="0"/>
          <w:divBdr>
            <w:top w:val="none" w:sz="0" w:space="0" w:color="auto"/>
            <w:left w:val="none" w:sz="0" w:space="0" w:color="auto"/>
            <w:bottom w:val="none" w:sz="0" w:space="0" w:color="auto"/>
            <w:right w:val="none" w:sz="0" w:space="0" w:color="auto"/>
          </w:divBdr>
        </w:div>
        <w:div w:id="491724184">
          <w:marLeft w:val="547"/>
          <w:marRight w:val="0"/>
          <w:marTop w:val="0"/>
          <w:marBottom w:val="0"/>
          <w:divBdr>
            <w:top w:val="none" w:sz="0" w:space="0" w:color="auto"/>
            <w:left w:val="none" w:sz="0" w:space="0" w:color="auto"/>
            <w:bottom w:val="none" w:sz="0" w:space="0" w:color="auto"/>
            <w:right w:val="none" w:sz="0" w:space="0" w:color="auto"/>
          </w:divBdr>
        </w:div>
        <w:div w:id="1134058196">
          <w:marLeft w:val="1166"/>
          <w:marRight w:val="0"/>
          <w:marTop w:val="0"/>
          <w:marBottom w:val="0"/>
          <w:divBdr>
            <w:top w:val="none" w:sz="0" w:space="0" w:color="auto"/>
            <w:left w:val="none" w:sz="0" w:space="0" w:color="auto"/>
            <w:bottom w:val="none" w:sz="0" w:space="0" w:color="auto"/>
            <w:right w:val="none" w:sz="0" w:space="0" w:color="auto"/>
          </w:divBdr>
        </w:div>
        <w:div w:id="1502238313">
          <w:marLeft w:val="1166"/>
          <w:marRight w:val="0"/>
          <w:marTop w:val="0"/>
          <w:marBottom w:val="0"/>
          <w:divBdr>
            <w:top w:val="none" w:sz="0" w:space="0" w:color="auto"/>
            <w:left w:val="none" w:sz="0" w:space="0" w:color="auto"/>
            <w:bottom w:val="none" w:sz="0" w:space="0" w:color="auto"/>
            <w:right w:val="none" w:sz="0" w:space="0" w:color="auto"/>
          </w:divBdr>
        </w:div>
        <w:div w:id="529076416">
          <w:marLeft w:val="547"/>
          <w:marRight w:val="0"/>
          <w:marTop w:val="0"/>
          <w:marBottom w:val="0"/>
          <w:divBdr>
            <w:top w:val="none" w:sz="0" w:space="0" w:color="auto"/>
            <w:left w:val="none" w:sz="0" w:space="0" w:color="auto"/>
            <w:bottom w:val="none" w:sz="0" w:space="0" w:color="auto"/>
            <w:right w:val="none" w:sz="0" w:space="0" w:color="auto"/>
          </w:divBdr>
        </w:div>
      </w:divsChild>
    </w:div>
    <w:div w:id="462967943">
      <w:bodyDiv w:val="1"/>
      <w:marLeft w:val="0"/>
      <w:marRight w:val="0"/>
      <w:marTop w:val="0"/>
      <w:marBottom w:val="0"/>
      <w:divBdr>
        <w:top w:val="none" w:sz="0" w:space="0" w:color="auto"/>
        <w:left w:val="none" w:sz="0" w:space="0" w:color="auto"/>
        <w:bottom w:val="none" w:sz="0" w:space="0" w:color="auto"/>
        <w:right w:val="none" w:sz="0" w:space="0" w:color="auto"/>
      </w:divBdr>
      <w:divsChild>
        <w:div w:id="1180047228">
          <w:marLeft w:val="245"/>
          <w:marRight w:val="0"/>
          <w:marTop w:val="0"/>
          <w:marBottom w:val="0"/>
          <w:divBdr>
            <w:top w:val="none" w:sz="0" w:space="0" w:color="auto"/>
            <w:left w:val="none" w:sz="0" w:space="0" w:color="auto"/>
            <w:bottom w:val="none" w:sz="0" w:space="0" w:color="auto"/>
            <w:right w:val="none" w:sz="0" w:space="0" w:color="auto"/>
          </w:divBdr>
        </w:div>
        <w:div w:id="616374837">
          <w:marLeft w:val="245"/>
          <w:marRight w:val="0"/>
          <w:marTop w:val="0"/>
          <w:marBottom w:val="0"/>
          <w:divBdr>
            <w:top w:val="none" w:sz="0" w:space="0" w:color="auto"/>
            <w:left w:val="none" w:sz="0" w:space="0" w:color="auto"/>
            <w:bottom w:val="none" w:sz="0" w:space="0" w:color="auto"/>
            <w:right w:val="none" w:sz="0" w:space="0" w:color="auto"/>
          </w:divBdr>
        </w:div>
        <w:div w:id="868687554">
          <w:marLeft w:val="547"/>
          <w:marRight w:val="0"/>
          <w:marTop w:val="0"/>
          <w:marBottom w:val="0"/>
          <w:divBdr>
            <w:top w:val="none" w:sz="0" w:space="0" w:color="auto"/>
            <w:left w:val="none" w:sz="0" w:space="0" w:color="auto"/>
            <w:bottom w:val="none" w:sz="0" w:space="0" w:color="auto"/>
            <w:right w:val="none" w:sz="0" w:space="0" w:color="auto"/>
          </w:divBdr>
        </w:div>
        <w:div w:id="1826238653">
          <w:marLeft w:val="1166"/>
          <w:marRight w:val="0"/>
          <w:marTop w:val="0"/>
          <w:marBottom w:val="0"/>
          <w:divBdr>
            <w:top w:val="none" w:sz="0" w:space="0" w:color="auto"/>
            <w:left w:val="none" w:sz="0" w:space="0" w:color="auto"/>
            <w:bottom w:val="none" w:sz="0" w:space="0" w:color="auto"/>
            <w:right w:val="none" w:sz="0" w:space="0" w:color="auto"/>
          </w:divBdr>
        </w:div>
        <w:div w:id="2042510321">
          <w:marLeft w:val="1166"/>
          <w:marRight w:val="0"/>
          <w:marTop w:val="0"/>
          <w:marBottom w:val="0"/>
          <w:divBdr>
            <w:top w:val="none" w:sz="0" w:space="0" w:color="auto"/>
            <w:left w:val="none" w:sz="0" w:space="0" w:color="auto"/>
            <w:bottom w:val="none" w:sz="0" w:space="0" w:color="auto"/>
            <w:right w:val="none" w:sz="0" w:space="0" w:color="auto"/>
          </w:divBdr>
        </w:div>
        <w:div w:id="1554850333">
          <w:marLeft w:val="1800"/>
          <w:marRight w:val="0"/>
          <w:marTop w:val="0"/>
          <w:marBottom w:val="0"/>
          <w:divBdr>
            <w:top w:val="none" w:sz="0" w:space="0" w:color="auto"/>
            <w:left w:val="none" w:sz="0" w:space="0" w:color="auto"/>
            <w:bottom w:val="none" w:sz="0" w:space="0" w:color="auto"/>
            <w:right w:val="none" w:sz="0" w:space="0" w:color="auto"/>
          </w:divBdr>
        </w:div>
        <w:div w:id="1477645092">
          <w:marLeft w:val="547"/>
          <w:marRight w:val="0"/>
          <w:marTop w:val="0"/>
          <w:marBottom w:val="0"/>
          <w:divBdr>
            <w:top w:val="none" w:sz="0" w:space="0" w:color="auto"/>
            <w:left w:val="none" w:sz="0" w:space="0" w:color="auto"/>
            <w:bottom w:val="none" w:sz="0" w:space="0" w:color="auto"/>
            <w:right w:val="none" w:sz="0" w:space="0" w:color="auto"/>
          </w:divBdr>
        </w:div>
        <w:div w:id="2134664578">
          <w:marLeft w:val="1166"/>
          <w:marRight w:val="0"/>
          <w:marTop w:val="0"/>
          <w:marBottom w:val="0"/>
          <w:divBdr>
            <w:top w:val="none" w:sz="0" w:space="0" w:color="auto"/>
            <w:left w:val="none" w:sz="0" w:space="0" w:color="auto"/>
            <w:bottom w:val="none" w:sz="0" w:space="0" w:color="auto"/>
            <w:right w:val="none" w:sz="0" w:space="0" w:color="auto"/>
          </w:divBdr>
        </w:div>
        <w:div w:id="1662268753">
          <w:marLeft w:val="1166"/>
          <w:marRight w:val="0"/>
          <w:marTop w:val="0"/>
          <w:marBottom w:val="0"/>
          <w:divBdr>
            <w:top w:val="none" w:sz="0" w:space="0" w:color="auto"/>
            <w:left w:val="none" w:sz="0" w:space="0" w:color="auto"/>
            <w:bottom w:val="none" w:sz="0" w:space="0" w:color="auto"/>
            <w:right w:val="none" w:sz="0" w:space="0" w:color="auto"/>
          </w:divBdr>
        </w:div>
        <w:div w:id="1217161898">
          <w:marLeft w:val="547"/>
          <w:marRight w:val="0"/>
          <w:marTop w:val="0"/>
          <w:marBottom w:val="0"/>
          <w:divBdr>
            <w:top w:val="none" w:sz="0" w:space="0" w:color="auto"/>
            <w:left w:val="none" w:sz="0" w:space="0" w:color="auto"/>
            <w:bottom w:val="none" w:sz="0" w:space="0" w:color="auto"/>
            <w:right w:val="none" w:sz="0" w:space="0" w:color="auto"/>
          </w:divBdr>
        </w:div>
      </w:divsChild>
    </w:div>
    <w:div w:id="703823766">
      <w:bodyDiv w:val="1"/>
      <w:marLeft w:val="0"/>
      <w:marRight w:val="0"/>
      <w:marTop w:val="0"/>
      <w:marBottom w:val="0"/>
      <w:divBdr>
        <w:top w:val="none" w:sz="0" w:space="0" w:color="auto"/>
        <w:left w:val="none" w:sz="0" w:space="0" w:color="auto"/>
        <w:bottom w:val="none" w:sz="0" w:space="0" w:color="auto"/>
        <w:right w:val="none" w:sz="0" w:space="0" w:color="auto"/>
      </w:divBdr>
      <w:divsChild>
        <w:div w:id="1278021464">
          <w:marLeft w:val="245"/>
          <w:marRight w:val="0"/>
          <w:marTop w:val="0"/>
          <w:marBottom w:val="0"/>
          <w:divBdr>
            <w:top w:val="none" w:sz="0" w:space="0" w:color="auto"/>
            <w:left w:val="none" w:sz="0" w:space="0" w:color="auto"/>
            <w:bottom w:val="none" w:sz="0" w:space="0" w:color="auto"/>
            <w:right w:val="none" w:sz="0" w:space="0" w:color="auto"/>
          </w:divBdr>
        </w:div>
        <w:div w:id="894975550">
          <w:marLeft w:val="245"/>
          <w:marRight w:val="0"/>
          <w:marTop w:val="0"/>
          <w:marBottom w:val="0"/>
          <w:divBdr>
            <w:top w:val="none" w:sz="0" w:space="0" w:color="auto"/>
            <w:left w:val="none" w:sz="0" w:space="0" w:color="auto"/>
            <w:bottom w:val="none" w:sz="0" w:space="0" w:color="auto"/>
            <w:right w:val="none" w:sz="0" w:space="0" w:color="auto"/>
          </w:divBdr>
        </w:div>
        <w:div w:id="1737243213">
          <w:marLeft w:val="547"/>
          <w:marRight w:val="0"/>
          <w:marTop w:val="0"/>
          <w:marBottom w:val="0"/>
          <w:divBdr>
            <w:top w:val="none" w:sz="0" w:space="0" w:color="auto"/>
            <w:left w:val="none" w:sz="0" w:space="0" w:color="auto"/>
            <w:bottom w:val="none" w:sz="0" w:space="0" w:color="auto"/>
            <w:right w:val="none" w:sz="0" w:space="0" w:color="auto"/>
          </w:divBdr>
        </w:div>
        <w:div w:id="822821190">
          <w:marLeft w:val="547"/>
          <w:marRight w:val="0"/>
          <w:marTop w:val="0"/>
          <w:marBottom w:val="0"/>
          <w:divBdr>
            <w:top w:val="none" w:sz="0" w:space="0" w:color="auto"/>
            <w:left w:val="none" w:sz="0" w:space="0" w:color="auto"/>
            <w:bottom w:val="none" w:sz="0" w:space="0" w:color="auto"/>
            <w:right w:val="none" w:sz="0" w:space="0" w:color="auto"/>
          </w:divBdr>
        </w:div>
        <w:div w:id="1392267985">
          <w:marLeft w:val="547"/>
          <w:marRight w:val="0"/>
          <w:marTop w:val="0"/>
          <w:marBottom w:val="0"/>
          <w:divBdr>
            <w:top w:val="none" w:sz="0" w:space="0" w:color="auto"/>
            <w:left w:val="none" w:sz="0" w:space="0" w:color="auto"/>
            <w:bottom w:val="none" w:sz="0" w:space="0" w:color="auto"/>
            <w:right w:val="none" w:sz="0" w:space="0" w:color="auto"/>
          </w:divBdr>
        </w:div>
        <w:div w:id="1721784421">
          <w:marLeft w:val="547"/>
          <w:marRight w:val="0"/>
          <w:marTop w:val="0"/>
          <w:marBottom w:val="0"/>
          <w:divBdr>
            <w:top w:val="none" w:sz="0" w:space="0" w:color="auto"/>
            <w:left w:val="none" w:sz="0" w:space="0" w:color="auto"/>
            <w:bottom w:val="none" w:sz="0" w:space="0" w:color="auto"/>
            <w:right w:val="none" w:sz="0" w:space="0" w:color="auto"/>
          </w:divBdr>
        </w:div>
        <w:div w:id="1835103799">
          <w:marLeft w:val="547"/>
          <w:marRight w:val="0"/>
          <w:marTop w:val="0"/>
          <w:marBottom w:val="0"/>
          <w:divBdr>
            <w:top w:val="none" w:sz="0" w:space="0" w:color="auto"/>
            <w:left w:val="none" w:sz="0" w:space="0" w:color="auto"/>
            <w:bottom w:val="none" w:sz="0" w:space="0" w:color="auto"/>
            <w:right w:val="none" w:sz="0" w:space="0" w:color="auto"/>
          </w:divBdr>
        </w:div>
        <w:div w:id="1743483913">
          <w:marLeft w:val="245"/>
          <w:marRight w:val="0"/>
          <w:marTop w:val="0"/>
          <w:marBottom w:val="0"/>
          <w:divBdr>
            <w:top w:val="none" w:sz="0" w:space="0" w:color="auto"/>
            <w:left w:val="none" w:sz="0" w:space="0" w:color="auto"/>
            <w:bottom w:val="none" w:sz="0" w:space="0" w:color="auto"/>
            <w:right w:val="none" w:sz="0" w:space="0" w:color="auto"/>
          </w:divBdr>
        </w:div>
      </w:divsChild>
    </w:div>
    <w:div w:id="1166869501">
      <w:bodyDiv w:val="1"/>
      <w:marLeft w:val="0"/>
      <w:marRight w:val="0"/>
      <w:marTop w:val="0"/>
      <w:marBottom w:val="0"/>
      <w:divBdr>
        <w:top w:val="none" w:sz="0" w:space="0" w:color="auto"/>
        <w:left w:val="none" w:sz="0" w:space="0" w:color="auto"/>
        <w:bottom w:val="none" w:sz="0" w:space="0" w:color="auto"/>
        <w:right w:val="none" w:sz="0" w:space="0" w:color="auto"/>
      </w:divBdr>
      <w:divsChild>
        <w:div w:id="1538154802">
          <w:marLeft w:val="245"/>
          <w:marRight w:val="0"/>
          <w:marTop w:val="0"/>
          <w:marBottom w:val="0"/>
          <w:divBdr>
            <w:top w:val="none" w:sz="0" w:space="0" w:color="auto"/>
            <w:left w:val="none" w:sz="0" w:space="0" w:color="auto"/>
            <w:bottom w:val="none" w:sz="0" w:space="0" w:color="auto"/>
            <w:right w:val="none" w:sz="0" w:space="0" w:color="auto"/>
          </w:divBdr>
        </w:div>
        <w:div w:id="154732840">
          <w:marLeft w:val="245"/>
          <w:marRight w:val="0"/>
          <w:marTop w:val="0"/>
          <w:marBottom w:val="0"/>
          <w:divBdr>
            <w:top w:val="none" w:sz="0" w:space="0" w:color="auto"/>
            <w:left w:val="none" w:sz="0" w:space="0" w:color="auto"/>
            <w:bottom w:val="none" w:sz="0" w:space="0" w:color="auto"/>
            <w:right w:val="none" w:sz="0" w:space="0" w:color="auto"/>
          </w:divBdr>
        </w:div>
        <w:div w:id="933125566">
          <w:marLeft w:val="547"/>
          <w:marRight w:val="0"/>
          <w:marTop w:val="0"/>
          <w:marBottom w:val="0"/>
          <w:divBdr>
            <w:top w:val="none" w:sz="0" w:space="0" w:color="auto"/>
            <w:left w:val="none" w:sz="0" w:space="0" w:color="auto"/>
            <w:bottom w:val="none" w:sz="0" w:space="0" w:color="auto"/>
            <w:right w:val="none" w:sz="0" w:space="0" w:color="auto"/>
          </w:divBdr>
        </w:div>
        <w:div w:id="837886875">
          <w:marLeft w:val="1166"/>
          <w:marRight w:val="0"/>
          <w:marTop w:val="0"/>
          <w:marBottom w:val="0"/>
          <w:divBdr>
            <w:top w:val="none" w:sz="0" w:space="0" w:color="auto"/>
            <w:left w:val="none" w:sz="0" w:space="0" w:color="auto"/>
            <w:bottom w:val="none" w:sz="0" w:space="0" w:color="auto"/>
            <w:right w:val="none" w:sz="0" w:space="0" w:color="auto"/>
          </w:divBdr>
        </w:div>
        <w:div w:id="1976520294">
          <w:marLeft w:val="1166"/>
          <w:marRight w:val="0"/>
          <w:marTop w:val="0"/>
          <w:marBottom w:val="0"/>
          <w:divBdr>
            <w:top w:val="none" w:sz="0" w:space="0" w:color="auto"/>
            <w:left w:val="none" w:sz="0" w:space="0" w:color="auto"/>
            <w:bottom w:val="none" w:sz="0" w:space="0" w:color="auto"/>
            <w:right w:val="none" w:sz="0" w:space="0" w:color="auto"/>
          </w:divBdr>
        </w:div>
        <w:div w:id="1473328579">
          <w:marLeft w:val="1800"/>
          <w:marRight w:val="0"/>
          <w:marTop w:val="0"/>
          <w:marBottom w:val="0"/>
          <w:divBdr>
            <w:top w:val="none" w:sz="0" w:space="0" w:color="auto"/>
            <w:left w:val="none" w:sz="0" w:space="0" w:color="auto"/>
            <w:bottom w:val="none" w:sz="0" w:space="0" w:color="auto"/>
            <w:right w:val="none" w:sz="0" w:space="0" w:color="auto"/>
          </w:divBdr>
        </w:div>
        <w:div w:id="1809937304">
          <w:marLeft w:val="547"/>
          <w:marRight w:val="0"/>
          <w:marTop w:val="0"/>
          <w:marBottom w:val="0"/>
          <w:divBdr>
            <w:top w:val="none" w:sz="0" w:space="0" w:color="auto"/>
            <w:left w:val="none" w:sz="0" w:space="0" w:color="auto"/>
            <w:bottom w:val="none" w:sz="0" w:space="0" w:color="auto"/>
            <w:right w:val="none" w:sz="0" w:space="0" w:color="auto"/>
          </w:divBdr>
        </w:div>
        <w:div w:id="1602839728">
          <w:marLeft w:val="1166"/>
          <w:marRight w:val="0"/>
          <w:marTop w:val="0"/>
          <w:marBottom w:val="0"/>
          <w:divBdr>
            <w:top w:val="none" w:sz="0" w:space="0" w:color="auto"/>
            <w:left w:val="none" w:sz="0" w:space="0" w:color="auto"/>
            <w:bottom w:val="none" w:sz="0" w:space="0" w:color="auto"/>
            <w:right w:val="none" w:sz="0" w:space="0" w:color="auto"/>
          </w:divBdr>
        </w:div>
        <w:div w:id="1025669951">
          <w:marLeft w:val="1166"/>
          <w:marRight w:val="0"/>
          <w:marTop w:val="0"/>
          <w:marBottom w:val="0"/>
          <w:divBdr>
            <w:top w:val="none" w:sz="0" w:space="0" w:color="auto"/>
            <w:left w:val="none" w:sz="0" w:space="0" w:color="auto"/>
            <w:bottom w:val="none" w:sz="0" w:space="0" w:color="auto"/>
            <w:right w:val="none" w:sz="0" w:space="0" w:color="auto"/>
          </w:divBdr>
        </w:div>
        <w:div w:id="128405761">
          <w:marLeft w:val="547"/>
          <w:marRight w:val="0"/>
          <w:marTop w:val="0"/>
          <w:marBottom w:val="0"/>
          <w:divBdr>
            <w:top w:val="none" w:sz="0" w:space="0" w:color="auto"/>
            <w:left w:val="none" w:sz="0" w:space="0" w:color="auto"/>
            <w:bottom w:val="none" w:sz="0" w:space="0" w:color="auto"/>
            <w:right w:val="none" w:sz="0" w:space="0" w:color="auto"/>
          </w:divBdr>
        </w:div>
      </w:divsChild>
    </w:div>
    <w:div w:id="1232040484">
      <w:bodyDiv w:val="1"/>
      <w:marLeft w:val="0"/>
      <w:marRight w:val="0"/>
      <w:marTop w:val="0"/>
      <w:marBottom w:val="0"/>
      <w:divBdr>
        <w:top w:val="none" w:sz="0" w:space="0" w:color="auto"/>
        <w:left w:val="none" w:sz="0" w:space="0" w:color="auto"/>
        <w:bottom w:val="none" w:sz="0" w:space="0" w:color="auto"/>
        <w:right w:val="none" w:sz="0" w:space="0" w:color="auto"/>
      </w:divBdr>
    </w:div>
    <w:div w:id="1560360230">
      <w:bodyDiv w:val="1"/>
      <w:marLeft w:val="0"/>
      <w:marRight w:val="0"/>
      <w:marTop w:val="0"/>
      <w:marBottom w:val="0"/>
      <w:divBdr>
        <w:top w:val="none" w:sz="0" w:space="0" w:color="auto"/>
        <w:left w:val="none" w:sz="0" w:space="0" w:color="auto"/>
        <w:bottom w:val="none" w:sz="0" w:space="0" w:color="auto"/>
        <w:right w:val="none" w:sz="0" w:space="0" w:color="auto"/>
      </w:divBdr>
    </w:div>
    <w:div w:id="1676684453">
      <w:bodyDiv w:val="1"/>
      <w:marLeft w:val="0"/>
      <w:marRight w:val="0"/>
      <w:marTop w:val="0"/>
      <w:marBottom w:val="0"/>
      <w:divBdr>
        <w:top w:val="none" w:sz="0" w:space="0" w:color="auto"/>
        <w:left w:val="none" w:sz="0" w:space="0" w:color="auto"/>
        <w:bottom w:val="none" w:sz="0" w:space="0" w:color="auto"/>
        <w:right w:val="none" w:sz="0" w:space="0" w:color="auto"/>
      </w:divBdr>
    </w:div>
    <w:div w:id="2038695909">
      <w:bodyDiv w:val="1"/>
      <w:marLeft w:val="0"/>
      <w:marRight w:val="0"/>
      <w:marTop w:val="0"/>
      <w:marBottom w:val="0"/>
      <w:divBdr>
        <w:top w:val="none" w:sz="0" w:space="0" w:color="auto"/>
        <w:left w:val="none" w:sz="0" w:space="0" w:color="auto"/>
        <w:bottom w:val="none" w:sz="0" w:space="0" w:color="auto"/>
        <w:right w:val="none" w:sz="0" w:space="0" w:color="auto"/>
      </w:divBdr>
    </w:div>
    <w:div w:id="209238728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tdoc.dotx</Template>
  <TotalTime>74</TotalTime>
  <Pages>2</Pages>
  <Words>709</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Discussion</vt:lpstr>
      <vt:lpstr>    Issue#1:</vt:lpstr>
      <vt:lpstr>        1st round</vt:lpstr>
      <vt:lpstr>        2nd round</vt:lpstr>
      <vt:lpstr>Conclusions</vt:lpstr>
      <vt:lpstr>Reference</vt:lpstr>
      <vt:lpstr>    t-doc proposals</vt:lpstr>
      <vt:lpstr>        [1] Nokia, Nokia Shanghai Bell R1-2203226</vt:lpstr>
      <vt:lpstr>        [2] CATT R1-2203483</vt:lpstr>
      <vt:lpstr>        [3] vivo R1-2203577</vt:lpstr>
      <vt:lpstr>        [4] ZTE, Sanechips R1-2203605</vt:lpstr>
      <vt:lpstr>        [5] CMCC R1-2204320</vt:lpstr>
      <vt:lpstr>        [6] Ericsson R1-2204883</vt:lpstr>
      <vt:lpstr>        [7] Huawei, HiSilicon R1-2204918</vt:lpstr>
      <vt:lpstr>    t-doc list</vt:lpstr>
    </vt:vector>
  </TitlesOfParts>
  <Manager/>
  <Company/>
  <LinksUpToDate>false</LinksUpToDate>
  <CharactersWithSpaces>4742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MediaTek (Chienchun)</cp:lastModifiedBy>
  <cp:revision>8</cp:revision>
  <dcterms:created xsi:type="dcterms:W3CDTF">2024-02-15T01:18:00Z</dcterms:created>
  <dcterms:modified xsi:type="dcterms:W3CDTF">2024-05-10T05:08:00Z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